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Education Administrator Professional Services</w:t>
      </w:r>
    </w:p>
    <w:p>
      <w:pPr>
        <w:pStyle w:val="BodyText"/>
      </w:pPr>
      <w:r>
        <w:t xml:space="preserve">PAID IN FULL</w:t>
      </w:r>
    </w:p>
    <w:bookmarkStart w:id="20" w:name="invoice-number"/>
    <w:p>
      <w:pPr>
        <w:pStyle w:val="Heading3"/>
      </w:pPr>
      <w:r>
        <w:t xml:space="preserve">Invoice Number:</w:t>
      </w:r>
    </w:p>
    <w:p>
      <w:pPr>
        <w:pStyle w:val="FirstParagraph"/>
      </w:pPr>
      <w:r>
        <w:t xml:space="preserve">INV-2025-MTL-00472</w:t>
      </w:r>
    </w:p>
    <w:bookmarkEnd w:id="20"/>
    <w:bookmarkStart w:id="21" w:name="issue-date"/>
    <w:p>
      <w:pPr>
        <w:pStyle w:val="Heading3"/>
      </w:pPr>
      <w:r>
        <w:t xml:space="preserve">Issue Date:</w:t>
      </w:r>
    </w:p>
    <w:p>
      <w:pPr>
        <w:pStyle w:val="FirstParagraph"/>
      </w:pPr>
      <w:r>
        <w:t xml:space="preserve">June 15, 2025</w:t>
      </w:r>
    </w:p>
    <w:bookmarkEnd w:id="21"/>
    <w:bookmarkStart w:id="22" w:name="due-date"/>
    <w:p>
      <w:pPr>
        <w:pStyle w:val="Heading3"/>
      </w:pPr>
      <w:r>
        <w:t xml:space="preserve">Due Date:</w:t>
      </w:r>
    </w:p>
    <w:p>
      <w:pPr>
        <w:pStyle w:val="FirstParagraph"/>
      </w:pPr>
      <w:r>
        <w:t xml:space="preserve">July 15, 2025</w:t>
      </w:r>
    </w:p>
    <w:bookmarkEnd w:id="22"/>
    <w:bookmarkStart w:id="23" w:name="service-period"/>
    <w:p>
      <w:pPr>
        <w:pStyle w:val="Heading3"/>
      </w:pPr>
      <w:r>
        <w:t xml:space="preserve">Service Period:</w:t>
      </w:r>
    </w:p>
    <w:p>
      <w:pPr>
        <w:pStyle w:val="FirstParagraph"/>
      </w:pPr>
      <w:r>
        <w:t xml:space="preserve">May 1 – May 31, 2025</w:t>
      </w:r>
    </w:p>
    <w:bookmarkEnd w:id="23"/>
    <w:bookmarkStart w:id="24" w:name="bill-from"/>
    <w:p>
      <w:pPr>
        <w:pStyle w:val="Heading4"/>
      </w:pPr>
      <w:r>
        <w:t xml:space="preserve">Bill From</w:t>
      </w:r>
    </w:p>
    <w:p>
      <w:pPr>
        <w:pStyle w:val="FirstParagraph"/>
      </w:pPr>
      <w:r>
        <w:rPr>
          <w:bCs/>
          <w:b/>
        </w:rPr>
        <w:t xml:space="preserve">Marie-Claire Deschamps, M.Ed.</w:t>
      </w:r>
    </w:p>
    <w:p>
      <w:pPr>
        <w:pStyle w:val="BodyText"/>
      </w:pPr>
      <w:r>
        <w:t xml:space="preserve">Education Administrator</w:t>
      </w:r>
    </w:p>
    <w:p>
      <w:pPr>
        <w:pStyle w:val="BodyText"/>
      </w:pPr>
      <w:r>
        <w:t xml:space="preserve">Deschamps Educational Consulting Inc.</w:t>
      </w:r>
    </w:p>
    <w:p>
      <w:pPr>
        <w:pStyle w:val="BodyText"/>
      </w:pPr>
      <w:r>
        <w:t xml:space="preserve">1450 Rue Sainte-Catherine Ouest, Suite 320</w:t>
      </w:r>
    </w:p>
    <w:p>
      <w:pPr>
        <w:pStyle w:val="BodyText"/>
      </w:pPr>
      <w:r>
        <w:t xml:space="preserve">Montreal, Quebec, Canada H3G 1Z4</w:t>
      </w:r>
    </w:p>
    <w:p>
      <w:pPr>
        <w:pStyle w:val="BodyText"/>
      </w:pPr>
      <w:r>
        <w:t xml:space="preserve">Phone: (514) 555-0187</w:t>
      </w:r>
    </w:p>
    <w:p>
      <w:pPr>
        <w:pStyle w:val="BodyText"/>
      </w:pPr>
      <w:r>
        <w:t xml:space="preserve">Email: m.deschamps@edadmin-mtl.ca</w:t>
      </w:r>
    </w:p>
    <w:p>
      <w:pPr>
        <w:pStyle w:val="BodyText"/>
      </w:pPr>
      <w:r>
        <w:t xml:space="preserve">QST No.: 123456789QST0001</w:t>
      </w:r>
    </w:p>
    <w:p>
      <w:pPr>
        <w:pStyle w:val="BodyText"/>
      </w:pPr>
      <w:r>
        <w:t xml:space="preserve">Business No.: 123456789RC0001</w:t>
      </w:r>
    </w:p>
    <w:bookmarkEnd w:id="24"/>
    <w:bookmarkStart w:id="25" w:name="bill-to"/>
    <w:p>
      <w:pPr>
        <w:pStyle w:val="Heading4"/>
      </w:pPr>
      <w:r>
        <w:t xml:space="preserve">Bill To</w:t>
      </w:r>
    </w:p>
    <w:p>
      <w:pPr>
        <w:pStyle w:val="FirstParagraph"/>
      </w:pPr>
      <w:r>
        <w:rPr>
          <w:bCs/>
          <w:b/>
        </w:rPr>
        <w:t xml:space="preserve">Commission scolaire de Montréal (CSDM)</w:t>
      </w:r>
    </w:p>
    <w:p>
      <w:pPr>
        <w:pStyle w:val="BodyText"/>
      </w:pPr>
      <w:r>
        <w:t xml:space="preserve">Attn: Director of Administrative Operations</w:t>
      </w:r>
    </w:p>
    <w:p>
      <w:pPr>
        <w:pStyle w:val="BodyText"/>
      </w:pPr>
      <w:r>
        <w:t xml:space="preserve">4555 Boulevard Saint-Laurent</w:t>
      </w:r>
    </w:p>
    <w:p>
      <w:pPr>
        <w:pStyle w:val="BodyText"/>
      </w:pPr>
      <w:r>
        <w:t xml:space="preserve">Montreal, Quebec, Canada H2T 1N3</w:t>
      </w:r>
    </w:p>
    <w:p>
      <w:pPr>
        <w:pStyle w:val="BodyText"/>
      </w:pPr>
      <w:r>
        <w:t xml:space="preserve">Phone: (514) 555-0243</w:t>
      </w:r>
    </w:p>
    <w:p>
      <w:pPr>
        <w:pStyle w:val="BodyText"/>
      </w:pPr>
      <w:r>
        <w:t xml:space="preserve">Email: admin.ops@csdm.qc.ca</w:t>
      </w:r>
    </w:p>
    <w:p>
      <w:pPr>
        <w:pStyle w:val="BodyText"/>
      </w:pPr>
      <w:r>
        <w:t xml:space="preserve">Client Reference: CSDM-EDU-2025-118</w:t>
      </w:r>
    </w:p>
    <w:bookmarkEnd w:id="25"/>
    <w:bookmarkStart w:id="29" w:name="X206afa933ba5f47f7658eb75b483d35bfc03a4e"/>
    <w:p>
      <w:pPr>
        <w:pStyle w:val="Heading3"/>
      </w:pPr>
      <w:r>
        <w:t xml:space="preserve">Description of Services Rendered by Education Administrator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Curriculum Administration &amp; Oversight</w:t>
            </w:r>
            <w:r>
              <w:t xml:space="preserve"> </w:t>
            </w:r>
            <w:r>
              <w:t xml:space="preserve">– Comprehensive review and restructuring of the Grade 7–12 curriculum framework for the Montreal district. The Education Administrator conducted a full audit of existing learning materials, aligned them with the Quebec Ministry of Education standards, and implemented a revised pedagogical roadmap for the upcoming academic year.</w:t>
            </w:r>
          </w:p>
        </w:tc>
        <w:tc>
          <w:tcPr/>
          <w:p>
            <w:pPr>
              <w:pStyle w:val="Compact"/>
              <w:jc w:val="left"/>
            </w:pPr>
            <w:r>
              <w:t xml:space="preserve">48 hours</w:t>
            </w:r>
          </w:p>
        </w:tc>
        <w:tc>
          <w:tcPr/>
          <w:p>
            <w:pPr>
              <w:pStyle w:val="Compact"/>
              <w:jc w:val="left"/>
            </w:pPr>
            <w:r>
              <w:t xml:space="preserve">$125.00/hr</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Staff Training &amp; Professional Development</w:t>
            </w:r>
            <w:r>
              <w:t xml:space="preserve"> </w:t>
            </w:r>
            <w:r>
              <w:t xml:space="preserve">– Design and delivery of four (4) full-day workshops for 120 teaching staff across three Montreal schools. Topics included differentiated instruction strategies, inclusive education policies, and digital literacy integration. The Education Administrator prepared all training materials, assessment rubrics, and follow-up evaluation instruments.</w:t>
            </w:r>
          </w:p>
        </w:tc>
        <w:tc>
          <w:tcPr/>
          <w:p>
            <w:pPr>
              <w:pStyle w:val="Compact"/>
              <w:jc w:val="left"/>
            </w:pPr>
            <w:r>
              <w:t xml:space="preserve">32 hours</w:t>
            </w:r>
          </w:p>
        </w:tc>
        <w:tc>
          <w:tcPr/>
          <w:p>
            <w:pPr>
              <w:pStyle w:val="Compact"/>
              <w:jc w:val="left"/>
            </w:pPr>
            <w:r>
              <w:t xml:space="preserve">$140.00/hr</w:t>
            </w:r>
          </w:p>
        </w:tc>
        <w:tc>
          <w:tcPr/>
          <w:p>
            <w:pPr>
              <w:pStyle w:val="Compact"/>
              <w:jc w:val="left"/>
            </w:pPr>
            <w:r>
              <w:t xml:space="preserve">$4,480.00</w:t>
            </w:r>
          </w:p>
        </w:tc>
      </w:tr>
      <w:tr>
        <w:tc>
          <w:tcPr/>
          <w:p>
            <w:pPr>
              <w:pStyle w:val="Compact"/>
              <w:jc w:val="left"/>
            </w:pPr>
            <w:r>
              <w:t xml:space="preserve">3</w:t>
            </w:r>
          </w:p>
        </w:tc>
        <w:tc>
          <w:tcPr/>
          <w:p>
            <w:pPr>
              <w:pStyle w:val="Compact"/>
              <w:jc w:val="left"/>
            </w:pPr>
            <w:r>
              <w:rPr>
                <w:bCs/>
                <w:b/>
              </w:rPr>
              <w:t xml:space="preserve">Administrative Policy Development</w:t>
            </w:r>
            <w:r>
              <w:t xml:space="preserve"> </w:t>
            </w:r>
            <w:r>
              <w:t xml:space="preserve">– Drafting and implementation of new internal policies governing student assessment protocols, teacher evaluation cycles, and inter-school resource allocation. The Education Administrator coordinated with the CSDM legal team to ensure full compliance with Quebec's Education Act (Loi sur l'instruction publique) and applicable federal regulations in Canada.</w:t>
            </w:r>
          </w:p>
        </w:tc>
        <w:tc>
          <w:tcPr/>
          <w:p>
            <w:pPr>
              <w:pStyle w:val="Compact"/>
              <w:jc w:val="left"/>
            </w:pPr>
            <w:r>
              <w:t xml:space="preserve">36 hours</w:t>
            </w:r>
          </w:p>
        </w:tc>
        <w:tc>
          <w:tcPr/>
          <w:p>
            <w:pPr>
              <w:pStyle w:val="Compact"/>
              <w:jc w:val="left"/>
            </w:pPr>
            <w:r>
              <w:t xml:space="preserve">$130.00/hr</w:t>
            </w:r>
          </w:p>
        </w:tc>
        <w:tc>
          <w:tcPr/>
          <w:p>
            <w:pPr>
              <w:pStyle w:val="Compact"/>
              <w:jc w:val="left"/>
            </w:pPr>
            <w:r>
              <w:t xml:space="preserve">$4,680.00</w:t>
            </w:r>
          </w:p>
        </w:tc>
      </w:tr>
      <w:tr>
        <w:tc>
          <w:tcPr/>
          <w:p>
            <w:pPr>
              <w:pStyle w:val="Compact"/>
              <w:jc w:val="left"/>
            </w:pPr>
            <w:r>
              <w:t xml:space="preserve">4</w:t>
            </w:r>
          </w:p>
        </w:tc>
        <w:tc>
          <w:tcPr/>
          <w:p>
            <w:pPr>
              <w:pStyle w:val="Compact"/>
              <w:jc w:val="left"/>
            </w:pPr>
            <w:r>
              <w:rPr>
                <w:bCs/>
                <w:b/>
              </w:rPr>
              <w:t xml:space="preserve">Budget Planning &amp; Financial Oversight</w:t>
            </w:r>
            <w:r>
              <w:t xml:space="preserve"> </w:t>
            </w:r>
            <w:r>
              <w:t xml:space="preserve">– Preparation of the 2025–2026 operational budget for the Montreal educational division. The Education Administrator analyzed expenditure reports, projected enrollment growth, negotiated vendor contracts for educational technology, and presented a consolidated financial plan to the school board's finance committee.</w:t>
            </w:r>
          </w:p>
        </w:tc>
        <w:tc>
          <w:tcPr/>
          <w:p>
            <w:pPr>
              <w:pStyle w:val="Compact"/>
              <w:jc w:val="left"/>
            </w:pPr>
            <w:r>
              <w:t xml:space="preserve">28 hours</w:t>
            </w:r>
          </w:p>
        </w:tc>
        <w:tc>
          <w:tcPr/>
          <w:p>
            <w:pPr>
              <w:pStyle w:val="Compact"/>
              <w:jc w:val="left"/>
            </w:pPr>
            <w:r>
              <w:t xml:space="preserve">$135.00/hr</w:t>
            </w:r>
          </w:p>
        </w:tc>
        <w:tc>
          <w:tcPr/>
          <w:p>
            <w:pPr>
              <w:pStyle w:val="Compact"/>
              <w:jc w:val="left"/>
            </w:pPr>
            <w:r>
              <w:t xml:space="preserve">$3,780.00</w:t>
            </w:r>
          </w:p>
        </w:tc>
      </w:tr>
      <w:tr>
        <w:tc>
          <w:tcPr/>
          <w:p>
            <w:pPr>
              <w:pStyle w:val="Compact"/>
              <w:jc w:val="left"/>
            </w:pPr>
            <w:r>
              <w:t xml:space="preserve">5</w:t>
            </w:r>
          </w:p>
        </w:tc>
        <w:tc>
          <w:tcPr/>
          <w:p>
            <w:pPr>
              <w:pStyle w:val="Compact"/>
              <w:jc w:val="left"/>
            </w:pPr>
            <w:r>
              <w:rPr>
                <w:bCs/>
                <w:b/>
              </w:rPr>
              <w:t xml:space="preserve">Compliance &amp; Reporting</w:t>
            </w:r>
            <w:r>
              <w:t xml:space="preserve"> </w:t>
            </w:r>
            <w:r>
              <w:t xml:space="preserve">– Compilation and submission of mandatory quarterly reports to the Quebec Ministry of Education, including student performance data, equity and inclusion metrics, and facility safety inspections. The Education Administrator ensured all documentation met the reporting standards required for educational institutions operating in Canada Montreal and the broader Quebec province.</w:t>
            </w:r>
          </w:p>
        </w:tc>
        <w:tc>
          <w:tcPr/>
          <w:p>
            <w:pPr>
              <w:pStyle w:val="Compact"/>
              <w:jc w:val="left"/>
            </w:pPr>
            <w:r>
              <w:t xml:space="preserve">20 hours</w:t>
            </w:r>
          </w:p>
        </w:tc>
        <w:tc>
          <w:tcPr/>
          <w:p>
            <w:pPr>
              <w:pStyle w:val="Compact"/>
              <w:jc w:val="left"/>
            </w:pPr>
            <w:r>
              <w:t xml:space="preserve">$120.00/hr</w:t>
            </w:r>
          </w:p>
        </w:tc>
        <w:tc>
          <w:tcPr/>
          <w:p>
            <w:pPr>
              <w:pStyle w:val="Compact"/>
              <w:jc w:val="left"/>
            </w:pPr>
            <w:r>
              <w:t xml:space="preserve">$2,400.00</w:t>
            </w:r>
          </w:p>
        </w:tc>
      </w:tr>
      <w:tr>
        <w:tc>
          <w:tcPr/>
          <w:p>
            <w:pPr>
              <w:pStyle w:val="Compact"/>
              <w:jc w:val="left"/>
            </w:pPr>
            <w:r>
              <w:t xml:space="preserve">6</w:t>
            </w:r>
          </w:p>
        </w:tc>
        <w:tc>
          <w:tcPr/>
          <w:p>
            <w:pPr>
              <w:pStyle w:val="Compact"/>
              <w:jc w:val="left"/>
            </w:pPr>
            <w:r>
              <w:rPr>
                <w:bCs/>
                <w:b/>
              </w:rPr>
              <w:t xml:space="preserve">Parent &amp; Community Engagement</w:t>
            </w:r>
            <w:r>
              <w:t xml:space="preserve"> </w:t>
            </w:r>
            <w:r>
              <w:t xml:space="preserve">– Organization and facilitation of two (2) community town-hall meetings in Montreal to address parental concerns regarding school scheduling, transportation logistics, and after-school programming. The Education Administrator prepared bilingual (English/French) presentation materials and managed stakeholder communications throughout the engagement period.</w:t>
            </w:r>
          </w:p>
        </w:tc>
        <w:tc>
          <w:tcPr/>
          <w:p>
            <w:pPr>
              <w:pStyle w:val="Compact"/>
              <w:jc w:val="left"/>
            </w:pPr>
            <w:r>
              <w:t xml:space="preserve">16 hours</w:t>
            </w:r>
          </w:p>
        </w:tc>
        <w:tc>
          <w:tcPr/>
          <w:p>
            <w:pPr>
              <w:pStyle w:val="Compact"/>
              <w:jc w:val="left"/>
            </w:pPr>
            <w:r>
              <w:t xml:space="preserve">$115.00/hr</w:t>
            </w:r>
          </w:p>
        </w:tc>
        <w:tc>
          <w:tcPr/>
          <w:p>
            <w:pPr>
              <w:pStyle w:val="Compact"/>
              <w:jc w:val="left"/>
            </w:pPr>
            <w:r>
              <w:t xml:space="preserve">$1,840.00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$23,180.00</w:t>
            </w:r>
          </w:p>
        </w:tc>
      </w:tr>
      <w:tr>
        <w:tc>
          <w:tcPr/>
          <w:p>
            <w:pPr>
              <w:pStyle w:val="Compact"/>
              <w:jc w:val="left"/>
            </w:pPr>
            <w:r>
              <w:t xml:space="preserve">GST (5% – Federal, Canada)</w:t>
            </w:r>
          </w:p>
        </w:tc>
        <w:tc>
          <w:tcPr/>
          <w:p>
            <w:pPr>
              <w:pStyle w:val="Compact"/>
              <w:jc w:val="left"/>
            </w:pPr>
            <w:r>
              <w:t xml:space="preserve">$1,159.00</w:t>
            </w:r>
          </w:p>
        </w:tc>
      </w:tr>
      <w:tr>
        <w:tc>
          <w:tcPr/>
          <w:p>
            <w:pPr>
              <w:pStyle w:val="Compact"/>
              <w:jc w:val="left"/>
            </w:pPr>
            <w:r>
              <w:t xml:space="preserve">QST (9.975% – Quebec, Montreal)</w:t>
            </w:r>
          </w:p>
        </w:tc>
        <w:tc>
          <w:tcPr/>
          <w:p>
            <w:pPr>
              <w:pStyle w:val="Compact"/>
              <w:jc w:val="left"/>
            </w:pPr>
            <w:r>
              <w:t xml:space="preserve">$2,313.02</w:t>
            </w:r>
          </w:p>
        </w:tc>
      </w:tr>
      <w:tr>
        <w:tc>
          <w:tcPr/>
          <w:p>
            <w:pPr>
              <w:pStyle w:val="Compact"/>
              <w:jc w:val="left"/>
            </w:pPr>
            <w:r>
              <w:t xml:space="preserve">TOTAL DUE (CAD)</w:t>
            </w:r>
          </w:p>
        </w:tc>
        <w:tc>
          <w:tcPr/>
          <w:p>
            <w:pPr>
              <w:pStyle w:val="Compact"/>
              <w:jc w:val="left"/>
            </w:pPr>
            <w:r>
              <w:t xml:space="preserve">$26,652.02</w:t>
            </w:r>
          </w:p>
        </w:tc>
      </w:tr>
    </w:tbl>
    <w:bookmarkStart w:id="26" w:name="payment-instructions"/>
    <w:p>
      <w:pPr>
        <w:pStyle w:val="Heading4"/>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Bank:</w:t>
      </w:r>
      <w:r>
        <w:t xml:space="preserve"> </w:t>
      </w:r>
      <w:r>
        <w:t xml:space="preserve">Desjardins Group</w:t>
      </w:r>
    </w:p>
    <w:p>
      <w:pPr>
        <w:pStyle w:val="BodyText"/>
      </w:pPr>
      <w:r>
        <w:rPr>
          <w:bCs/>
          <w:b/>
        </w:rPr>
        <w:t xml:space="preserve">Account Name:</w:t>
      </w:r>
      <w:r>
        <w:t xml:space="preserve"> </w:t>
      </w:r>
      <w:r>
        <w:t xml:space="preserve">Deschamps Educational Consulting Inc.</w:t>
      </w:r>
    </w:p>
    <w:p>
      <w:pPr>
        <w:pStyle w:val="BodyText"/>
      </w:pPr>
      <w:r>
        <w:rPr>
          <w:bCs/>
          <w:b/>
        </w:rPr>
        <w:t xml:space="preserve">Transit No.:</w:t>
      </w:r>
      <w:r>
        <w:t xml:space="preserve"> </w:t>
      </w:r>
      <w:r>
        <w:t xml:space="preserve">00012</w:t>
      </w:r>
    </w:p>
    <w:p>
      <w:pPr>
        <w:pStyle w:val="BodyText"/>
      </w:pPr>
      <w:r>
        <w:rPr>
          <w:bCs/>
          <w:b/>
        </w:rPr>
        <w:t xml:space="preserve">Institution No.:</w:t>
      </w:r>
      <w:r>
        <w:t xml:space="preserve"> </w:t>
      </w:r>
      <w:r>
        <w:t xml:space="preserve">000</w:t>
      </w:r>
    </w:p>
    <w:p>
      <w:pPr>
        <w:pStyle w:val="BodyText"/>
      </w:pPr>
      <w:r>
        <w:rPr>
          <w:bCs/>
          <w:b/>
        </w:rPr>
        <w:t xml:space="preserve">Account No.:</w:t>
      </w:r>
      <w:r>
        <w:t xml:space="preserve"> </w:t>
      </w:r>
      <w:r>
        <w:t xml:space="preserve">123456789</w:t>
      </w:r>
    </w:p>
    <w:p>
      <w:pPr>
        <w:pStyle w:val="BodyText"/>
      </w:pPr>
      <w:r>
        <w:rPr>
          <w:bCs/>
          <w:b/>
        </w:rPr>
        <w:t xml:space="preserve">Reference:</w:t>
      </w:r>
      <w:r>
        <w:t xml:space="preserve"> </w:t>
      </w:r>
      <w:r>
        <w:t xml:space="preserve">INV-2025-MTL-00472</w:t>
      </w:r>
    </w:p>
    <w:bookmarkEnd w:id="26"/>
    <w:bookmarkStart w:id="27" w:name="payment-terms-conditions"/>
    <w:p>
      <w:pPr>
        <w:pStyle w:val="Heading4"/>
      </w:pPr>
      <w:r>
        <w:t xml:space="preserve">Payment Terms &amp; Conditions</w:t>
      </w:r>
    </w:p>
    <w:p>
      <w:pPr>
        <w:pStyle w:val="FirstParagraph"/>
      </w:pPr>
      <w:r>
        <w:t xml:space="preserve">This Invoice is payable within thirty (30) calendar days of the issue date. Late payments will incur a penalty of 1.5% per month as stipulated under the Quebec Civil Code. All amounts are quoted in Canadian Dollars (CAD). The Education Administrator reserves the right to suspend ongoing services if payment is not received by the due date. This Invoice constitutes a binding financial document under the laws of the Province of Quebec and the federal jurisdiction of Canada.</w:t>
      </w:r>
    </w:p>
    <w:bookmarkEnd w:id="27"/>
    <w:bookmarkStart w:id="28" w:name="additional-notes-terms-of-service"/>
    <w:p>
      <w:pPr>
        <w:pStyle w:val="Heading4"/>
      </w:pPr>
      <w:r>
        <w:t xml:space="preserve">Additional Notes &amp; Terms of Service</w:t>
      </w:r>
    </w:p>
    <w:p>
      <w:pPr>
        <w:numPr>
          <w:ilvl w:val="0"/>
          <w:numId w:val="1001"/>
        </w:numPr>
        <w:pStyle w:val="Compact"/>
      </w:pPr>
      <w:r>
        <w:t xml:space="preserve">This Invoice covers all professional services rendered by the Education Administrator during the period of May 1, 2025, through May 31, 2025, for the Montreal school district under the CSDM contract agreement (Ref: CSDM-EDU-2025-118).</w:t>
      </w:r>
    </w:p>
    <w:p>
      <w:pPr>
        <w:numPr>
          <w:ilvl w:val="0"/>
          <w:numId w:val="1001"/>
        </w:numPr>
        <w:pStyle w:val="Compact"/>
      </w:pPr>
      <w:r>
        <w:t xml:space="preserve">All services were performed in accordance with the professional standards established by the Quebec Order of Education Administrators and the regulatory framework governing educational institutions in Canada.</w:t>
      </w:r>
    </w:p>
    <w:p>
      <w:pPr>
        <w:numPr>
          <w:ilvl w:val="0"/>
          <w:numId w:val="1001"/>
        </w:numPr>
        <w:pStyle w:val="Compact"/>
      </w:pPr>
      <w:r>
        <w:t xml:space="preserve">The Education Administrator confirms that all work products, including curriculum documents, policy drafts, training materials, and financial reports, are the intellectual property of the Commission scolaire de Montréal upon full payment of this Invoice.</w:t>
      </w:r>
    </w:p>
    <w:p>
      <w:pPr>
        <w:numPr>
          <w:ilvl w:val="0"/>
          <w:numId w:val="1001"/>
        </w:numPr>
        <w:pStyle w:val="Compact"/>
      </w:pPr>
      <w:r>
        <w:t xml:space="preserve">Travel expenses incurred within the Montreal metropolitan area are included in the hourly rates. Any travel outside the Montreal region would be billed separately at cost.</w:t>
      </w:r>
    </w:p>
    <w:p>
      <w:pPr>
        <w:numPr>
          <w:ilvl w:val="0"/>
          <w:numId w:val="1001"/>
        </w:numPr>
        <w:pStyle w:val="Compact"/>
      </w:pPr>
      <w:r>
        <w:t xml:space="preserve">This Invoice has been prepared in compliance with the Canada Revenue Agency (CRA) invoicing requirements and the Quebec Revenu tax reporting standards. A duplicate copy of this Invoice may be requested by contacting the Education Administrator's office directly.</w:t>
      </w:r>
    </w:p>
    <w:p>
      <w:pPr>
        <w:numPr>
          <w:ilvl w:val="0"/>
          <w:numId w:val="1001"/>
        </w:numPr>
        <w:pStyle w:val="Compact"/>
      </w:pPr>
      <w:r>
        <w:t xml:space="preserve">For questions regarding this Invoice or the services described herein, please contact Marie-Claire Deschamps at (514) 555-0187 or m.deschamps@edadmin-mtl.ca. All correspondence regarding this Invoice should reference the Invoice number INV-2025-MTL-00472.</w:t>
      </w:r>
    </w:p>
    <w:bookmarkEnd w:id="28"/>
    <w:p>
      <w:pPr>
        <w:pStyle w:val="FirstParagraph"/>
      </w:pPr>
      <w:r>
        <w:rPr>
          <w:bCs/>
          <w:b/>
        </w:rPr>
        <w:t xml:space="preserve">Deschamps Educational Consulting Inc.</w:t>
      </w:r>
      <w:r>
        <w:t xml:space="preserve"> </w:t>
      </w:r>
      <w:r>
        <w:t xml:space="preserve">| 1450 Rue Sainte-Catherine Ouest, Suite 320, Montreal, Quebec, Canada H3G 1Z4</w:t>
      </w:r>
    </w:p>
    <w:p>
      <w:pPr>
        <w:pStyle w:val="BodyText"/>
      </w:pPr>
      <w:r>
        <w:t xml:space="preserve">This Invoice was generated on June 15, 2025. Thank you for your business. We appreciate the opportunity to serve the educational community of Canada Montreal.</w:t>
      </w:r>
    </w:p>
    <w:p>
      <w:pPr>
        <w:pStyle w:val="BodyText"/>
      </w:pPr>
      <w:r>
        <w:t xml:space="preserve">© 2025 Deschamps Educational Consulting Inc. All rights reserved. This document is a valid Invoice for tax and accounting purposes under the laws of Canada and the Province of Quebec.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Canada Montreal</dc:title>
  <dc:creator/>
  <dc:language>en</dc:language>
  <cp:keywords/>
  <dcterms:created xsi:type="dcterms:W3CDTF">2026-10-10T07:29:18Z</dcterms:created>
  <dcterms:modified xsi:type="dcterms:W3CDTF">2026-10-10T07:29:18Z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