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INVOICE</w:t>
      </w:r>
    </w:p>
    <w:p>
      <w:pPr>
        <w:pStyle w:val="BodyText"/>
      </w:pPr>
      <w:r>
        <w:t xml:space="preserve">Professional Services – Education Administrator</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INV/EDU/MUM/2025/0047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w:t>
      </w:r>
    </w:p>
    <w:bookmarkEnd w:id="20"/>
    <w:bookmarkStart w:id="21" w:name="bill-from-service-provider"/>
    <w:p>
      <w:pPr>
        <w:pStyle w:val="Heading4"/>
      </w:pPr>
      <w:r>
        <w:t xml:space="preserve">Bill From (Service Provider)</w:t>
      </w:r>
    </w:p>
    <w:p>
      <w:pPr>
        <w:pStyle w:val="FirstParagraph"/>
      </w:pPr>
      <w:r>
        <w:rPr>
          <w:bCs/>
          <w:b/>
        </w:rPr>
        <w:t xml:space="preserve">Mr. Rajesh Kumar Sharma</w:t>
      </w:r>
    </w:p>
    <w:p>
      <w:pPr>
        <w:pStyle w:val="BodyText"/>
      </w:pPr>
      <w:r>
        <w:t xml:space="preserve">Education Administrator &amp; Academic Consultant</w:t>
      </w:r>
    </w:p>
    <w:p>
      <w:pPr>
        <w:pStyle w:val="BodyText"/>
      </w:pPr>
      <w:r>
        <w:t xml:space="preserve">Office No. 412, 4th Floor, Corporate Tower</w:t>
      </w:r>
    </w:p>
    <w:p>
      <w:pPr>
        <w:pStyle w:val="BodyText"/>
      </w:pPr>
      <w:r>
        <w:t xml:space="preserve">Bandra-Kurla Complex, Bandra East</w:t>
      </w:r>
    </w:p>
    <w:p>
      <w:pPr>
        <w:pStyle w:val="BodyText"/>
      </w:pPr>
      <w:r>
        <w:t xml:space="preserve">Mumbai, Maharashtra – 400051, India</w:t>
      </w:r>
    </w:p>
    <w:p>
      <w:pPr>
        <w:pStyle w:val="BodyText"/>
      </w:pPr>
      <w:r>
        <w:t xml:space="preserve">GSTIN: 27ABCDE1234F1Z5</w:t>
      </w:r>
    </w:p>
    <w:p>
      <w:pPr>
        <w:pStyle w:val="BodyText"/>
      </w:pPr>
      <w:r>
        <w:t xml:space="preserve">Email: rajesh.sharma@eduadminmumbai.in</w:t>
      </w:r>
    </w:p>
    <w:p>
      <w:pPr>
        <w:pStyle w:val="BodyText"/>
      </w:pPr>
      <w:r>
        <w:t xml:space="preserve">Phone: +91-98200-XXXXX</w:t>
      </w:r>
    </w:p>
    <w:bookmarkEnd w:id="21"/>
    <w:bookmarkStart w:id="22" w:name="bill-to-client"/>
    <w:p>
      <w:pPr>
        <w:pStyle w:val="Heading4"/>
      </w:pPr>
      <w:r>
        <w:t xml:space="preserve">Bill To (Client)</w:t>
      </w:r>
    </w:p>
    <w:p>
      <w:pPr>
        <w:pStyle w:val="FirstParagraph"/>
      </w:pPr>
      <w:r>
        <w:rPr>
          <w:bCs/>
          <w:b/>
        </w:rPr>
        <w:t xml:space="preserve">St. Xavier's International Academy</w:t>
      </w:r>
    </w:p>
    <w:p>
      <w:pPr>
        <w:pStyle w:val="BodyText"/>
      </w:pPr>
      <w:r>
        <w:t xml:space="preserve">Attn: Dr. Anita Deshmukh, Principal</w:t>
      </w:r>
    </w:p>
    <w:p>
      <w:pPr>
        <w:pStyle w:val="BodyText"/>
      </w:pPr>
      <w:r>
        <w:t xml:space="preserve">Plot No. 28, Juhu Tara Road</w:t>
      </w:r>
    </w:p>
    <w:p>
      <w:pPr>
        <w:pStyle w:val="BodyText"/>
      </w:pPr>
      <w:r>
        <w:t xml:space="preserve">Juhu, Mumbai, Maharashtra – 400049, India</w:t>
      </w:r>
    </w:p>
    <w:p>
      <w:pPr>
        <w:pStyle w:val="BodyText"/>
      </w:pPr>
      <w:r>
        <w:t xml:space="preserve">GSTIN: 27XYZAB5678K1Z2</w:t>
      </w:r>
    </w:p>
    <w:p>
      <w:pPr>
        <w:pStyle w:val="BodyText"/>
      </w:pPr>
      <w:r>
        <w:t xml:space="preserve">Email: admin@stxavieracademy.edu.in</w:t>
      </w:r>
    </w:p>
    <w:p>
      <w:pPr>
        <w:pStyle w:val="BodyText"/>
      </w:pPr>
      <w:r>
        <w:t xml:space="preserve">Phone: +91-22-2620-XXXX</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academic administration and curriculum coordination services provided by the Education Administrator for the academic year 2024–25. Includes scheduling of examinations, teacher performance reviews, and coordination with the Maharashtra State Board of Secondary and Higher Secondary Education.</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Admissions processing and student record management for the Education Administrator role. Involves verification of documents, maintenance of digital student databases, and compliance with the Right to Education (RTE) Act guidelines applicable in India Mumbai educational institutions.</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Staff recruitment support and HR coordination for teaching and non-teaching personnel. The Education Administrator conducted interviews, prepared appointment letters, and managed onboarding for 12 new faculty members during the quarter.</w:t>
            </w:r>
          </w:p>
        </w:tc>
        <w:tc>
          <w:tcPr/>
          <w:p>
            <w:pPr>
              <w:pStyle w:val="Compact"/>
              <w:jc w:val="left"/>
            </w:pPr>
            <w:r>
              <w:t xml:space="preserve">Apr – Jun 2025</w:t>
            </w:r>
          </w:p>
        </w:tc>
        <w:tc>
          <w:tcPr/>
          <w:p>
            <w:pPr>
              <w:pStyle w:val="Compact"/>
              <w:jc w:val="left"/>
            </w:pPr>
            <w:r>
              <w:t xml:space="preserve">12 positions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Preparation and submission of statutory reports to the Department of Education, Government of Maharashtra. The Education Administrator compiled attendance registers, financial utilization certificates, and infrastructure audit reports as mandated for all schools in India Mumbai.</w:t>
            </w:r>
          </w:p>
        </w:tc>
        <w:tc>
          <w:tcPr/>
          <w:p>
            <w:pPr>
              <w:pStyle w:val="Compact"/>
              <w:jc w:val="left"/>
            </w:pPr>
            <w:r>
              <w:t xml:space="preserve">Apr – Jun 2025</w:t>
            </w:r>
          </w:p>
        </w:tc>
        <w:tc>
          <w:tcPr/>
          <w:p>
            <w:pPr>
              <w:pStyle w:val="Compact"/>
              <w:jc w:val="left"/>
            </w:pPr>
            <w:r>
              <w:t xml:space="preserve">3 reports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Organization and coordination of the Annual Academic Conference held on 22 May 2025 at the institution premises in Juhu, Mumbai. The Education Administrator managed venue logistics, speaker invitations, catering arrangements, and post-event documentation for 350 attendees.</w:t>
            </w:r>
          </w:p>
        </w:tc>
        <w:tc>
          <w:tcPr/>
          <w:p>
            <w:pPr>
              <w:pStyle w:val="Compact"/>
              <w:jc w:val="left"/>
            </w:pPr>
            <w:r>
              <w:t xml:space="preserve">22 May 2025</w:t>
            </w:r>
          </w:p>
        </w:tc>
        <w:tc>
          <w:tcPr/>
          <w:p>
            <w:pPr>
              <w:pStyle w:val="Compact"/>
              <w:jc w:val="left"/>
            </w:pPr>
            <w:r>
              <w:t xml:space="preserve">1 event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Digital transformation consulting for the school's Learning Management System (LMS). The Education Administrator oversaw the migration of 2,400 student records to the new platform, trained 45 staff members, and ensured data security compliance under the Digital Personal Data Protection Act, 2023.</w:t>
            </w:r>
          </w:p>
        </w:tc>
        <w:tc>
          <w:tcPr/>
          <w:p>
            <w:pPr>
              <w:pStyle w:val="Compact"/>
              <w:jc w:val="left"/>
            </w:pPr>
            <w:r>
              <w:t xml:space="preserve">May – Jun 2025</w:t>
            </w:r>
          </w:p>
        </w:tc>
        <w:tc>
          <w:tcPr/>
          <w:p>
            <w:pPr>
              <w:pStyle w:val="Compact"/>
              <w:jc w:val="left"/>
            </w:pPr>
            <w:r>
              <w:t xml:space="preserve">1 project</w:t>
            </w:r>
          </w:p>
        </w:tc>
        <w:tc>
          <w:tcPr/>
          <w:p>
            <w:pPr>
              <w:pStyle w:val="Compact"/>
              <w:jc w:val="left"/>
            </w:pPr>
            <w:r>
              <w:t xml:space="preserve">₹60,000.00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₹3,91,000.00</w:t>
            </w:r>
          </w:p>
        </w:tc>
      </w:tr>
      <w:tr>
        <w:tc>
          <w:tcPr/>
          <w:p>
            <w:pPr>
              <w:pStyle w:val="Compact"/>
              <w:jc w:val="left"/>
            </w:pPr>
            <w:r>
              <w:t xml:space="preserve">GST @ 18% (CGST 9% + SGST 9%)</w:t>
            </w:r>
          </w:p>
        </w:tc>
        <w:tc>
          <w:tcPr/>
          <w:p>
            <w:pPr>
              <w:pStyle w:val="Compact"/>
              <w:jc w:val="right"/>
            </w:pPr>
            <w:r>
              <w:t xml:space="preserve">₹70,380.00</w:t>
            </w:r>
          </w:p>
        </w:tc>
      </w:tr>
      <w:tr>
        <w:tc>
          <w:tcPr/>
          <w:p>
            <w:pPr>
              <w:pStyle w:val="Compact"/>
              <w:jc w:val="left"/>
            </w:pPr>
            <w:r>
              <w:t xml:space="preserve">Professional Tax (Maharashtra)</w:t>
            </w:r>
          </w:p>
        </w:tc>
        <w:tc>
          <w:tcPr/>
          <w:p>
            <w:pPr>
              <w:pStyle w:val="Compact"/>
              <w:jc w:val="right"/>
            </w:pPr>
            <w:r>
              <w:t xml:space="preserve">₹2,000.00</w:t>
            </w:r>
          </w:p>
        </w:tc>
      </w:tr>
      <w:tr>
        <w:tc>
          <w:tcPr/>
          <w:p>
            <w:pPr>
              <w:pStyle w:val="Compact"/>
              <w:jc w:val="left"/>
            </w:pPr>
            <w:r>
              <w:t xml:space="preserve">Convenience Fee / Processing Charge</w:t>
            </w:r>
          </w:p>
        </w:tc>
        <w:tc>
          <w:tcPr/>
          <w:p>
            <w:pPr>
              <w:pStyle w:val="Compact"/>
              <w:jc w:val="right"/>
            </w:pPr>
            <w:r>
              <w:t xml:space="preserve">₹1,500.00</w:t>
            </w:r>
          </w:p>
        </w:tc>
      </w:tr>
      <w:tr>
        <w:tc>
          <w:tcPr/>
          <w:p>
            <w:pPr>
              <w:pStyle w:val="Compact"/>
              <w:jc w:val="left"/>
            </w:pPr>
            <w:r>
              <w:rPr>
                <w:bCs/>
                <w:b/>
              </w:rPr>
              <w:t xml:space="preserve">Grand Total (INR)</w:t>
            </w:r>
          </w:p>
        </w:tc>
        <w:tc>
          <w:tcPr/>
          <w:p>
            <w:pPr>
              <w:pStyle w:val="Compact"/>
              <w:jc w:val="right"/>
            </w:pPr>
            <w:r>
              <w:rPr>
                <w:bCs/>
                <w:b/>
              </w:rPr>
              <w:t xml:space="preserve">₹4,64,880.00</w:t>
            </w:r>
          </w:p>
        </w:tc>
      </w:tr>
    </w:tbl>
    <w:bookmarkStart w:id="23" w:name="invoice-notes-terms"/>
    <w:p>
      <w:pPr>
        <w:pStyle w:val="Heading4"/>
      </w:pPr>
      <w:r>
        <w:t xml:space="preserve">Invoice Notes &amp; Terms</w:t>
      </w:r>
    </w:p>
    <w:p>
      <w:pPr>
        <w:pStyle w:val="FirstParagraph"/>
      </w:pPr>
      <w:r>
        <w:t xml:space="preserve">1. This Invoice is issued in accordance with the Goods and Services Tax (GST) regulations as applicable in India Mumbai and the State of Maharashtra. The Education Administrator services described herein are classified under SAC 998313 (Other professional services) for tax purposes.</w:t>
      </w:r>
    </w:p>
    <w:p>
      <w:pPr>
        <w:pStyle w:val="BodyText"/>
      </w:pPr>
      <w:r>
        <w:t xml:space="preserve">2. Payment is due within fifteen (15) calendar days from the Invoice date. Late payments shall attract a penalty of 1.5% per month or part thereof on the outstanding amount.</w:t>
      </w:r>
    </w:p>
    <w:p>
      <w:pPr>
        <w:pStyle w:val="BodyText"/>
      </w:pPr>
      <w:r>
        <w:t xml:space="preserve">3. All services rendered by the Education Administrator are subject to the Master Service Agreement dated 01 April 2025 between the parties. Any dispute arising from this Invoice shall be governed by the laws of India and subject to the exclusive jurisdiction of the competent courts in Mumbai, Maharashtra.</w:t>
      </w:r>
    </w:p>
    <w:p>
      <w:pPr>
        <w:pStyle w:val="BodyText"/>
      </w:pPr>
      <w:r>
        <w:t xml:space="preserve">4. This Invoice is valid for 90 days from the date of issue. Please quote the Invoice number INV/EDU/MUM/2025/0047 in all correspondence and payment references.</w:t>
      </w:r>
    </w:p>
    <w:p>
      <w:pPr>
        <w:pStyle w:val="BodyText"/>
      </w:pPr>
      <w:r>
        <w:t xml:space="preserve">5. The Education Administrator reserves the right to issue a revised Invoice in the event of any clerical error. The client is requested to verify all line items and notify any discrepancies within seven (7) days of receipt.</w:t>
      </w:r>
    </w:p>
    <w:bookmarkEnd w:id="23"/>
    <w:bookmarkStart w:id="24" w:name="payment-bank-details"/>
    <w:p>
      <w:pPr>
        <w:pStyle w:val="Heading4"/>
      </w:pPr>
      <w:r>
        <w:t xml:space="preserve">Payment / Bank Details</w:t>
      </w:r>
    </w:p>
    <w:p>
      <w:pPr>
        <w:pStyle w:val="FirstParagraph"/>
      </w:pPr>
      <w:r>
        <w:rPr>
          <w:bCs/>
          <w:b/>
        </w:rPr>
        <w:t xml:space="preserve">Account Name:</w:t>
      </w:r>
      <w:r>
        <w:t xml:space="preserve"> </w:t>
      </w:r>
      <w:r>
        <w:t xml:space="preserve">Rajesh Kumar Sharma</w:t>
      </w:r>
    </w:p>
    <w:p>
      <w:pPr>
        <w:pStyle w:val="BodyText"/>
      </w:pPr>
      <w:r>
        <w:rPr>
          <w:bCs/>
          <w:b/>
        </w:rPr>
        <w:t xml:space="preserve">Bank:</w:t>
      </w:r>
      <w:r>
        <w:t xml:space="preserve"> </w:t>
      </w:r>
      <w:r>
        <w:t xml:space="preserve">State Bank of India, Bandra East Branch, Mumbai</w:t>
      </w:r>
    </w:p>
    <w:p>
      <w:pPr>
        <w:pStyle w:val="BodyText"/>
      </w:pPr>
      <w:r>
        <w:rPr>
          <w:bCs/>
          <w:b/>
        </w:rPr>
        <w:t xml:space="preserve">Account Number:</w:t>
      </w:r>
      <w:r>
        <w:t xml:space="preserve"> </w:t>
      </w:r>
      <w:r>
        <w:t xml:space="preserve">3021 XXXX XXXX 4521</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UPI ID:</w:t>
      </w:r>
      <w:r>
        <w:t xml:space="preserve"> </w:t>
      </w:r>
      <w:r>
        <w:t xml:space="preserve">rajesh.sharma@okaxis</w:t>
      </w:r>
    </w:p>
    <w:p>
      <w:pPr>
        <w:pStyle w:val="BodyText"/>
      </w:pPr>
      <w:r>
        <w:t xml:space="preserve">Kindly mention the Invoice number in the payment remarks field. Cheques should be drawn in favour of "Rajesh Kumar Sharma" and made payable at Mumbai.</w:t>
      </w:r>
    </w:p>
    <w:bookmarkEnd w:id="24"/>
    <w:p>
      <w:pPr>
        <w:pStyle w:val="BodyText"/>
      </w:pPr>
      <w:r>
        <w:t xml:space="preserve">This is a computer-generated Invoice and does not require a physical signature. The Education Administrator services referenced in this document are provided under a valid professional engagement in India Mumbai. For queries regarding this Invoice, please contact the billing department at billing@eduadminmumbai.in or call +91-98200-XXXXX between 10:00 AM and 6:00 PM (IST), Monday to Saturday.</w:t>
      </w:r>
    </w:p>
    <w:p>
      <w:pPr>
        <w:pStyle w:val="BodyText"/>
      </w:pPr>
      <w:r>
        <w:t xml:space="preserve">© 2025 Rajesh Kumar Sharma – Education Administrator, Mumbai,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India Mumbai</dc:title>
  <dc:creator/>
  <dc:language>en</dc:language>
  <cp:keywords/>
  <dcterms:created xsi:type="dcterms:W3CDTF">2026-10-10T08:00:53Z</dcterms:created>
  <dcterms:modified xsi:type="dcterms:W3CDTF">2026-10-10T08:00:53Z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