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Jakarta,</w:t>
      </w:r>
      <w:r>
        <w:t xml:space="preserve"> </w:t>
      </w:r>
      <w:r>
        <w:t xml:space="preserve">Indonesia</w:t>
      </w:r>
    </w:p>
    <w:bookmarkStart w:id="20" w:name="eduadmin-pro-services"/>
    <w:p>
      <w:pPr>
        <w:pStyle w:val="Heading1"/>
      </w:pPr>
      <w:r>
        <w:t xml:space="preserve">EduAdmin Pro Services</w:t>
      </w:r>
    </w:p>
    <w:p>
      <w:pPr>
        <w:pStyle w:val="FirstParagraph"/>
      </w:pPr>
      <w:r>
        <w:t xml:space="preserve">Jl. Jend. Sudirman Kav. 52-53, SCBD</w:t>
      </w:r>
    </w:p>
    <w:p>
      <w:pPr>
        <w:pStyle w:val="BodyText"/>
      </w:pPr>
      <w:r>
        <w:t xml:space="preserve">Jakarta Selatan 12190, Indonesia</w:t>
      </w:r>
    </w:p>
    <w:p>
      <w:pPr>
        <w:pStyle w:val="BodyText"/>
      </w:pPr>
      <w:r>
        <w:t xml:space="preserve">Tel: +62 21 5150 8899 | Email: billing@eduadminpro.co.id</w:t>
      </w:r>
    </w:p>
    <w:p>
      <w:pPr>
        <w:pStyle w:val="BodyText"/>
      </w:pPr>
      <w:r>
        <w:t xml:space="preserve">NPWP: 09.254.781.2-355.000</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INV-JKT-2025-00472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PT Cendekia Nusantara Education Group</w:t>
      </w:r>
    </w:p>
    <w:p>
      <w:pPr>
        <w:pStyle w:val="BodyText"/>
      </w:pPr>
      <w:r>
        <w:t xml:space="preserve">Attn: Dr. Ratna Wulandari, Director of Academic Affairs</w:t>
      </w:r>
    </w:p>
    <w:p>
      <w:pPr>
        <w:pStyle w:val="BodyText"/>
      </w:pPr>
      <w:r>
        <w:t xml:space="preserve">Jl. Gatot Subroto No. 88, Kuningan</w:t>
      </w:r>
    </w:p>
    <w:p>
      <w:pPr>
        <w:pStyle w:val="BodyText"/>
      </w:pPr>
      <w:r>
        <w:t xml:space="preserve">Jakarta Selatan 12950, Indonesia</w:t>
      </w:r>
    </w:p>
    <w:p>
      <w:pPr>
        <w:pStyle w:val="BodyText"/>
      </w:pPr>
      <w:r>
        <w:t xml:space="preserve">NPWP: 01.482.937.5-351.000</w:t>
      </w:r>
    </w:p>
    <w:p>
      <w:pPr>
        <w:pStyle w:val="BodyText"/>
      </w:pPr>
      <w:r>
        <w:t xml:space="preserve">Email: finance@cendekianusantara.co.id</w:t>
      </w:r>
    </w:p>
    <w:bookmarkEnd w:id="22"/>
    <w:bookmarkStart w:id="23" w:name="service-provider"/>
    <w:p>
      <w:pPr>
        <w:pStyle w:val="Heading3"/>
      </w:pPr>
      <w:r>
        <w:t xml:space="preserve">Service Provider</w:t>
      </w:r>
    </w:p>
    <w:p>
      <w:pPr>
        <w:pStyle w:val="FirstParagraph"/>
      </w:pPr>
      <w:r>
        <w:rPr>
          <w:bCs/>
          <w:b/>
        </w:rPr>
        <w:t xml:space="preserve">EduAdmin Pro Services</w:t>
      </w:r>
    </w:p>
    <w:p>
      <w:pPr>
        <w:pStyle w:val="BodyText"/>
      </w:pPr>
      <w:r>
        <w:t xml:space="preserve">Attn: Mr. Budi Santoso, Lead Education Administrator</w:t>
      </w:r>
    </w:p>
    <w:p>
      <w:pPr>
        <w:pStyle w:val="BodyText"/>
      </w:pPr>
      <w:r>
        <w:t xml:space="preserve">Jl. Jend. Sudirman Kav. 52-53, SCBD</w:t>
      </w:r>
    </w:p>
    <w:p>
      <w:pPr>
        <w:pStyle w:val="BodyText"/>
      </w:pPr>
      <w:r>
        <w:t xml:space="preserve">Jakarta Selatan 12190, Indonesia</w:t>
      </w:r>
    </w:p>
    <w:p>
      <w:pPr>
        <w:pStyle w:val="BodyText"/>
      </w:pPr>
      <w:r>
        <w:t xml:space="preserve">Email: billing@eduadminpro.co.id</w:t>
      </w:r>
    </w:p>
    <w:p>
      <w:pPr>
        <w:pStyle w:val="BodyText"/>
      </w:pPr>
      <w:r>
        <w:t xml:space="preserve">Phone: +62 812 3456 7890</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Period</w:t>
            </w:r>
          </w:p>
        </w:tc>
        <w:tc>
          <w:tcPr/>
          <w:p>
            <w:pPr>
              <w:pStyle w:val="Compact"/>
              <w:jc w:val="left"/>
            </w:pPr>
            <w:r>
              <w:t xml:space="preserve">Qty</w:t>
            </w:r>
          </w:p>
        </w:tc>
        <w:tc>
          <w:tcPr/>
          <w:p>
            <w:pPr>
              <w:pStyle w:val="Compact"/>
              <w:jc w:val="left"/>
            </w:pPr>
            <w:r>
              <w:t xml:space="preserve">Unit Price (IDR)</w:t>
            </w:r>
          </w:p>
        </w:tc>
        <w:tc>
          <w:tcPr/>
          <w:p>
            <w:pPr>
              <w:pStyle w:val="Compact"/>
              <w:jc w:val="left"/>
            </w:pPr>
            <w:r>
              <w:t xml:space="preserve">Amount (IDR)</w:t>
            </w:r>
          </w:p>
        </w:tc>
      </w:tr>
      <w:tr>
        <w:tc>
          <w:tcPr/>
          <w:p>
            <w:pPr>
              <w:pStyle w:val="Compact"/>
              <w:jc w:val="left"/>
            </w:pPr>
            <w:r>
              <w:t xml:space="preserve">1</w:t>
            </w:r>
          </w:p>
        </w:tc>
        <w:tc>
          <w:tcPr/>
          <w:p>
            <w:pPr>
              <w:pStyle w:val="Compact"/>
              <w:jc w:val="left"/>
            </w:pPr>
            <w:r>
              <w:t xml:space="preserve">Education Administrator – Curriculum Development &amp; Academic Planning for K-12 Programs in Jakarta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2</w:t>
            </w:r>
          </w:p>
        </w:tc>
        <w:tc>
          <w:tcPr/>
          <w:p>
            <w:pPr>
              <w:pStyle w:val="Compact"/>
              <w:jc w:val="left"/>
            </w:pPr>
            <w:r>
              <w:t xml:space="preserve">Education Administrator – Student Enrollment Management &amp; Admissions Coordination (Jakarta Campus)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r>
      <w:tr>
        <w:tc>
          <w:tcPr/>
          <w:p>
            <w:pPr>
              <w:pStyle w:val="Compact"/>
              <w:jc w:val="left"/>
            </w:pPr>
            <w:r>
              <w:t xml:space="preserve">3</w:t>
            </w:r>
          </w:p>
        </w:tc>
        <w:tc>
          <w:tcPr/>
          <w:p>
            <w:pPr>
              <w:pStyle w:val="Compact"/>
              <w:jc w:val="left"/>
            </w:pPr>
            <w:r>
              <w:t xml:space="preserve">Education Administrator – Faculty Scheduling, Performance Evaluation &amp; Professional Development Oversight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4</w:t>
            </w:r>
          </w:p>
        </w:tc>
        <w:tc>
          <w:tcPr/>
          <w:p>
            <w:pPr>
              <w:pStyle w:val="Compact"/>
              <w:jc w:val="left"/>
            </w:pPr>
            <w:r>
              <w:t xml:space="preserve">Education Administrator – Compliance Reporting to Kemendikbudristek &amp; Jakarta Provincial Education Office (Dinas Pendidikan DKI Jakarta)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5</w:t>
            </w:r>
          </w:p>
        </w:tc>
        <w:tc>
          <w:tcPr/>
          <w:p>
            <w:pPr>
              <w:pStyle w:val="Compact"/>
              <w:jc w:val="left"/>
            </w:pPr>
            <w:r>
              <w:t xml:space="preserve">Education Administrator – IT Systems Integration for Academic Records (SIAKAD) &amp; Data Migration Support</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6</w:t>
            </w:r>
          </w:p>
        </w:tc>
        <w:tc>
          <w:tcPr/>
          <w:p>
            <w:pPr>
              <w:pStyle w:val="Compact"/>
              <w:jc w:val="left"/>
            </w:pPr>
            <w:r>
              <w:t xml:space="preserve">Education Administrator – Parent-Teacher Communication Portal Management &amp; Community Engagement in Jakarta</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10,500,000</w:t>
            </w:r>
          </w:p>
        </w:tc>
        <w:tc>
          <w:tcPr/>
          <w:p>
            <w:pPr>
              <w:pStyle w:val="Compact"/>
              <w:jc w:val="left"/>
            </w:pPr>
            <w:r>
              <w:t xml:space="preserve">10,500,000</w:t>
            </w:r>
          </w:p>
        </w:tc>
      </w:tr>
      <w:tr>
        <w:tc>
          <w:tcPr/>
          <w:p>
            <w:pPr>
              <w:pStyle w:val="Compact"/>
              <w:jc w:val="left"/>
            </w:pPr>
            <w:r>
              <w:t xml:space="preserve">7</w:t>
            </w:r>
          </w:p>
        </w:tc>
        <w:tc>
          <w:tcPr/>
          <w:p>
            <w:pPr>
              <w:pStyle w:val="Compact"/>
              <w:jc w:val="left"/>
            </w:pPr>
            <w:r>
              <w:t xml:space="preserve">Education Administrator – Accreditation Preparation &amp; Documentation for BAN-S/M Certification (Jakarta Region)</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20,000,000</w:t>
            </w:r>
          </w:p>
        </w:tc>
        <w:tc>
          <w:tcPr/>
          <w:p>
            <w:pPr>
              <w:pStyle w:val="Compact"/>
              <w:jc w:val="left"/>
            </w:pPr>
            <w:r>
              <w:t xml:space="preserve">20,000,000</w:t>
            </w:r>
          </w:p>
        </w:tc>
      </w:tr>
      <w:tr>
        <w:tc>
          <w:tcPr/>
          <w:p>
            <w:pPr>
              <w:pStyle w:val="Compact"/>
              <w:jc w:val="left"/>
            </w:pPr>
            <w:r>
              <w:t xml:space="preserve">8</w:t>
            </w:r>
          </w:p>
        </w:tc>
        <w:tc>
          <w:tcPr/>
          <w:p>
            <w:pPr>
              <w:pStyle w:val="Compact"/>
              <w:jc w:val="left"/>
            </w:pPr>
            <w:r>
              <w:t xml:space="preserve">Education Administrator – Monthly Strategic Advisory &amp; Operational Review Meetings (Jakarta Office)</w:t>
            </w:r>
          </w:p>
        </w:tc>
        <w:tc>
          <w:tcPr/>
          <w:p>
            <w:pPr>
              <w:pStyle w:val="Compact"/>
              <w:jc w:val="left"/>
            </w:pPr>
            <w:r>
              <w:t xml:space="preserve">May 2025</w:t>
            </w:r>
          </w:p>
        </w:tc>
        <w:tc>
          <w:tcPr/>
          <w:p>
            <w:pPr>
              <w:pStyle w:val="Compact"/>
              <w:jc w:val="left"/>
            </w:pPr>
            <w:r>
              <w:t xml:space="preserve">4</w:t>
            </w:r>
          </w:p>
        </w:tc>
        <w:tc>
          <w:tcPr/>
          <w:p>
            <w:pPr>
              <w:pStyle w:val="Compact"/>
              <w:jc w:val="left"/>
            </w:pPr>
            <w:r>
              <w:t xml:space="preserve">3,500,000</w:t>
            </w:r>
          </w:p>
        </w:tc>
        <w:tc>
          <w:tcPr/>
          <w:p>
            <w:pPr>
              <w:pStyle w:val="Compact"/>
              <w:jc w:val="left"/>
            </w:pPr>
            <w:r>
              <w:t xml:space="preserve">14,000,000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IDR 137,500,000</w:t>
            </w:r>
          </w:p>
        </w:tc>
      </w:tr>
      <w:tr>
        <w:tc>
          <w:tcPr/>
          <w:p>
            <w:pPr>
              <w:pStyle w:val="Compact"/>
              <w:jc w:val="left"/>
            </w:pPr>
            <w:r>
              <w:t xml:space="preserve">VAT (PPN) 11%</w:t>
            </w:r>
          </w:p>
        </w:tc>
        <w:tc>
          <w:tcPr/>
          <w:p>
            <w:pPr>
              <w:pStyle w:val="Compact"/>
              <w:jc w:val="left"/>
            </w:pPr>
            <w:r>
              <w:t xml:space="preserve">IDR 15,125,000</w:t>
            </w:r>
          </w:p>
        </w:tc>
      </w:tr>
      <w:tr>
        <w:tc>
          <w:tcPr/>
          <w:p>
            <w:pPr>
              <w:pStyle w:val="Compact"/>
              <w:jc w:val="left"/>
            </w:pPr>
            <w:r>
              <w:t xml:space="preserve">Withholding Tax (PPh 23) 2%</w:t>
            </w:r>
          </w:p>
        </w:tc>
        <w:tc>
          <w:tcPr/>
          <w:p>
            <w:pPr>
              <w:pStyle w:val="Compact"/>
              <w:jc w:val="left"/>
            </w:pPr>
            <w:r>
              <w:t xml:space="preserve">- IDR 2,750,000</w:t>
            </w:r>
          </w:p>
        </w:tc>
      </w:tr>
      <w:tr>
        <w:tc>
          <w:tcPr/>
          <w:p>
            <w:pPr>
              <w:pStyle w:val="Compact"/>
              <w:jc w:val="left"/>
            </w:pPr>
            <w:r>
              <w:t xml:space="preserve">Grand Total Due</w:t>
            </w:r>
          </w:p>
        </w:tc>
        <w:tc>
          <w:tcPr/>
          <w:p>
            <w:pPr>
              <w:pStyle w:val="Compact"/>
              <w:jc w:val="left"/>
            </w:pPr>
            <w:r>
              <w:t xml:space="preserve">IDR 149,875,000</w:t>
            </w:r>
          </w:p>
        </w:tc>
      </w:tr>
    </w:tbl>
    <w:bookmarkStart w:id="24" w:name="invoice-notes-service-summary"/>
    <w:p>
      <w:pPr>
        <w:pStyle w:val="Heading3"/>
      </w:pPr>
      <w:r>
        <w:t xml:space="preserve">Invoice Notes &amp; Service Summary</w:t>
      </w:r>
    </w:p>
    <w:p>
      <w:pPr>
        <w:pStyle w:val="FirstParagraph"/>
      </w:pPr>
      <w:r>
        <w:t xml:space="preserve">This invoice pertains to the comprehensive Education Administrator services rendered by EduAdmin Pro Services to PT Cendekia Nusantara Education Group for the month of May 2025. As a dedicated Education Administrator operating within the Jakarta, Indonesia educational landscape, our team provided end-to-end academic administration support encompassing curriculum design, student lifecycle management, faculty coordination, regulatory compliance with the Indonesian Ministry of Education, Culture, Research, and Technology (Kemendikbudristek), and institutional accreditation preparation in alignment with BAN-S/M standards specific to the DKI Jakarta region.</w:t>
      </w:r>
    </w:p>
    <w:p>
      <w:pPr>
        <w:pStyle w:val="BodyText"/>
      </w:pPr>
      <w:r>
        <w:t xml:space="preserve">All services were delivered in accordance with the Master Service Agreement (MSA) dated 1 January 2025, Contract Reference No. MSA-JKT-2025-0012. The Education Administrator role as defined in this engagement includes strategic oversight of all academic operations, coordination with the Jakarta Provincial Education Office, and continuous quality improvement initiatives for the client's multi-campus educational institution headquartered in South Jakarta.</w:t>
      </w:r>
    </w:p>
    <w:p>
      <w:pPr>
        <w:pStyle w:val="BodyText"/>
      </w:pPr>
      <w:r>
        <w:t xml:space="preserve">Please note that this invoice is subject to the 11% Value Added Tax (Pajak Pertambahan Nilai / PPN) as mandated by Indonesian tax law (UU PPN No. 7 Tahun 2021). The 2% Withholding Tax (Pajak Penghasilan Pasal 23) has been deducted at source in accordance with Indonesian tax regulations. The client is responsible for remitting the withheld tax to the Directorate General of Taxes (Ditjen Pajak) within the prescribed statutory period.</w:t>
      </w:r>
    </w:p>
    <w:bookmarkEnd w:id="24"/>
    <w:bookmarkStart w:id="25" w:name="payment-instructions"/>
    <w:p>
      <w:pPr>
        <w:pStyle w:val="Heading3"/>
      </w:pPr>
      <w:r>
        <w:t xml:space="preserve">Payment Instructions</w:t>
      </w:r>
    </w:p>
    <w:p>
      <w:pPr>
        <w:pStyle w:val="FirstParagraph"/>
      </w:pPr>
      <w:r>
        <w:t xml:space="preserve">Please remit payment via bank transfer to the following account no later than the due date stated above. Late payments are subject to a penalty of 2% per month as stipulated in the MSA.</w:t>
      </w:r>
    </w:p>
    <w:p>
      <w:pPr>
        <w:pStyle w:val="BodyText"/>
      </w:pPr>
      <w:r>
        <w:rPr>
          <w:bCs/>
          <w:b/>
        </w:rPr>
        <w:t xml:space="preserve">Bank:</w:t>
      </w:r>
      <w:r>
        <w:t xml:space="preserve"> </w:t>
      </w:r>
      <w:r>
        <w:t xml:space="preserve">Bank Central Asia (BCA)</w:t>
      </w:r>
    </w:p>
    <w:p>
      <w:pPr>
        <w:pStyle w:val="BodyText"/>
      </w:pPr>
      <w:r>
        <w:rPr>
          <w:bCs/>
          <w:b/>
        </w:rPr>
        <w:t xml:space="preserve">Account Name:</w:t>
      </w:r>
      <w:r>
        <w:t xml:space="preserve"> </w:t>
      </w:r>
      <w:r>
        <w:t xml:space="preserve">EduAdmin Pro Services</w:t>
      </w:r>
    </w:p>
    <w:p>
      <w:pPr>
        <w:pStyle w:val="BodyText"/>
      </w:pPr>
      <w:r>
        <w:rPr>
          <w:bCs/>
          <w:b/>
        </w:rPr>
        <w:t xml:space="preserve">Account Number:</w:t>
      </w:r>
      <w:r>
        <w:t xml:space="preserve"> </w:t>
      </w:r>
      <w:r>
        <w:t xml:space="preserve">456 789 0123</w:t>
      </w:r>
    </w:p>
    <w:p>
      <w:pPr>
        <w:pStyle w:val="BodyText"/>
      </w:pPr>
      <w:r>
        <w:rPr>
          <w:bCs/>
          <w:b/>
        </w:rPr>
        <w:t xml:space="preserve">Branch:</w:t>
      </w:r>
      <w:r>
        <w:t xml:space="preserve"> </w:t>
      </w:r>
      <w:r>
        <w:t xml:space="preserve">SCBD, Jakarta Selatan</w:t>
      </w:r>
    </w:p>
    <w:p>
      <w:pPr>
        <w:pStyle w:val="BodyText"/>
      </w:pPr>
      <w:r>
        <w:rPr>
          <w:bCs/>
          <w:b/>
        </w:rPr>
        <w:t xml:space="preserve">SWIFT Code:</w:t>
      </w:r>
      <w:r>
        <w:t xml:space="preserve"> </w:t>
      </w:r>
      <w:r>
        <w:t xml:space="preserve">CBAQIDJA</w:t>
      </w:r>
    </w:p>
    <w:p>
      <w:pPr>
        <w:pStyle w:val="BodyText"/>
      </w:pPr>
      <w:r>
        <w:rPr>
          <w:bCs/>
          <w:b/>
        </w:rPr>
        <w:t xml:space="preserve">Reference:</w:t>
      </w:r>
      <w:r>
        <w:t xml:space="preserve"> </w:t>
      </w:r>
      <w:r>
        <w:t xml:space="preserve">INV-JKT-2025-00472</w:t>
      </w:r>
    </w:p>
    <w:p>
      <w:pPr>
        <w:pStyle w:val="BodyText"/>
      </w:pPr>
      <w:r>
        <w:rPr>
          <w:iCs/>
          <w:i/>
        </w:rPr>
        <w:t xml:space="preserve">For international wire transfers, please include the full invoice number and the name of the Education Administrator service provider in the transfer remarks to ensure proper reconciliation.</w:t>
      </w:r>
    </w:p>
    <w:bookmarkEnd w:id="25"/>
    <w:p>
      <w:pPr>
        <w:pStyle w:val="BodyText"/>
      </w:pPr>
      <w:r>
        <w:rPr>
          <w:bCs/>
          <w:b/>
        </w:rPr>
        <w:t xml:space="preserve">EduAdmin Pro Services</w:t>
      </w:r>
      <w:r>
        <w:t xml:space="preserve"> </w:t>
      </w:r>
      <w:r>
        <w:t xml:space="preserve">| Jl. Jend. Sudirman Kav. 52-53, SCBD, Jakarta Selatan 12190, Indonesia</w:t>
      </w:r>
    </w:p>
    <w:p>
      <w:pPr>
        <w:pStyle w:val="BodyText"/>
      </w:pPr>
      <w:r>
        <w:t xml:space="preserve">NPWP: 09.254.781.2-355.000 | TDP: 1102/0456/2024 | NIB: 2301010000123</w:t>
      </w:r>
    </w:p>
    <w:p>
      <w:pPr>
        <w:pStyle w:val="BodyText"/>
      </w:pPr>
      <w:r>
        <w:t xml:space="preserve">This is a computer-generated invoice and does not require a physical signature. For disputes or queries regarding this invoice, please contact our billing department within 7 business days of the issue date.</w:t>
      </w:r>
    </w:p>
    <w:p>
      <w:pPr>
        <w:pStyle w:val="BodyText"/>
      </w:pPr>
      <w:r>
        <w:t xml:space="preserve">© 2025 EduAdmin Pro Services. All rights reserved. Invoice generated on 15 June 2025 in Jakarta, Indonesia.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Jakarta, Indonesia</dc:title>
  <dc:creator/>
  <dc:language>en</dc:language>
  <cp:keywords/>
  <dcterms:created xsi:type="dcterms:W3CDTF">2026-10-10T06:23:28Z</dcterms:created>
  <dcterms:modified xsi:type="dcterms:W3CDTF">2026-10-10T06:23:28Z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