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Xbb426fada4073e1d3ac7acd81e16dcb34b57ccd"/>
    <w:p>
      <w:pPr>
        <w:pStyle w:val="Heading1"/>
      </w:pPr>
      <w:r>
        <w:t xml:space="preserve">Kyoto Academic Administration Services Co., Ltd.</w:t>
      </w:r>
    </w:p>
    <w:p>
      <w:pPr>
        <w:pStyle w:val="FirstParagraph"/>
      </w:pPr>
      <w:r>
        <w:t xml:space="preserve">12-34 Higashiyama-ku, Kyoto 605-0001, Japan</w:t>
      </w:r>
    </w:p>
    <w:p>
      <w:pPr>
        <w:pStyle w:val="BodyText"/>
      </w:pPr>
      <w:r>
        <w:t xml:space="preserve">Phone: +81-75-123-4567 | Email: billing@kyoto-education-admin.jp</w:t>
      </w:r>
    </w:p>
    <w:p>
      <w:pPr>
        <w:pStyle w:val="BodyText"/>
      </w:pPr>
      <w:r>
        <w:t xml:space="preserve">Corporate Number: 6010001234567</w:t>
      </w:r>
    </w:p>
    <w:p>
      <w:pPr>
        <w:pStyle w:val="BodyText"/>
      </w:pPr>
      <w:r>
        <w:t xml:space="preserve">Registered in Japan Kyoto Prefecture Commercial Registry</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KYO-EA-2025-00487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April 1, 2025 – June 30, 2025</w:t>
      </w:r>
    </w:p>
    <w:p>
      <w:pPr>
        <w:pStyle w:val="BodyText"/>
      </w:pPr>
      <w:r>
        <w:t xml:space="preserve">Japan Kyoto Region</w:t>
      </w:r>
    </w:p>
    <w:bookmarkEnd w:id="21"/>
    <w:bookmarkStart w:id="22" w:name="billed-to"/>
    <w:p>
      <w:pPr>
        <w:pStyle w:val="Heading3"/>
      </w:pPr>
      <w:r>
        <w:t xml:space="preserve">Billed To</w:t>
      </w:r>
    </w:p>
    <w:p>
      <w:pPr>
        <w:pStyle w:val="FirstParagraph"/>
      </w:pPr>
      <w:r>
        <w:rPr>
          <w:bCs/>
          <w:b/>
        </w:rPr>
        <w:t xml:space="preserve">Kyoto Municipal Education Board</w:t>
      </w:r>
    </w:p>
    <w:p>
      <w:pPr>
        <w:pStyle w:val="BodyText"/>
      </w:pPr>
      <w:r>
        <w:t xml:space="preserve">Attention: Director Tanaka Hiroshi</w:t>
      </w:r>
    </w:p>
    <w:p>
      <w:pPr>
        <w:pStyle w:val="BodyText"/>
      </w:pPr>
      <w:r>
        <w:t xml:space="preserve">456 Nakagyo-ku, Kyoto 604-8501, Japan</w:t>
      </w:r>
    </w:p>
    <w:p>
      <w:pPr>
        <w:pStyle w:val="BodyText"/>
      </w:pPr>
      <w:r>
        <w:t xml:space="preserve">Phone: +81-75-987-6543</w:t>
      </w:r>
    </w:p>
    <w:p>
      <w:pPr>
        <w:pStyle w:val="BodyText"/>
      </w:pPr>
      <w:r>
        <w:t xml:space="preserve">Email: procurement@kyoto-education-board.jp</w:t>
      </w:r>
    </w:p>
    <w:bookmarkEnd w:id="22"/>
    <w:bookmarkStart w:id="23" w:name="service-provider"/>
    <w:p>
      <w:pPr>
        <w:pStyle w:val="Heading3"/>
      </w:pPr>
      <w:r>
        <w:t xml:space="preserve">Service Provider</w:t>
      </w:r>
    </w:p>
    <w:p>
      <w:pPr>
        <w:pStyle w:val="FirstParagraph"/>
      </w:pPr>
      <w:r>
        <w:rPr>
          <w:bCs/>
          <w:b/>
        </w:rPr>
        <w:t xml:space="preserve">Kyoto Academic Administration Services Co., Ltd.</w:t>
      </w:r>
    </w:p>
    <w:p>
      <w:pPr>
        <w:pStyle w:val="BodyText"/>
      </w:pPr>
      <w:r>
        <w:t xml:space="preserve">Lead Education Administrator: Sato Yuki, M.Ed.</w:t>
      </w:r>
    </w:p>
    <w:p>
      <w:pPr>
        <w:pStyle w:val="BodyText"/>
      </w:pPr>
      <w:r>
        <w:t xml:space="preserve">12-34 Higashiyama-ku, Kyoto 605-0001, Japan</w:t>
      </w:r>
    </w:p>
    <w:p>
      <w:pPr>
        <w:pStyle w:val="BodyText"/>
      </w:pPr>
      <w:r>
        <w:t xml:space="preserve">Phone: +81-75-123-4567</w:t>
      </w:r>
    </w:p>
    <w:p>
      <w:pPr>
        <w:pStyle w:val="BodyText"/>
      </w:pPr>
      <w:r>
        <w:t xml:space="preserve">Email: sato.yuki@kyoto-education-admin.jp</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(JPY)</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Education Administrator – Curriculum Oversight &amp; Policy Implementation for Japan Kyoto Public Schools (Q2 2025)</w:t>
            </w:r>
          </w:p>
        </w:tc>
        <w:tc>
          <w:tcPr/>
          <w:p>
            <w:pPr>
              <w:pStyle w:val="Compact"/>
              <w:jc w:val="left"/>
            </w:pPr>
            <w:r>
              <w:t xml:space="preserve">185,000</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555,000</w:t>
            </w:r>
          </w:p>
        </w:tc>
      </w:tr>
      <w:tr>
        <w:tc>
          <w:tcPr/>
          <w:p>
            <w:pPr>
              <w:pStyle w:val="Compact"/>
              <w:jc w:val="left"/>
            </w:pPr>
            <w:r>
              <w:t xml:space="preserve">2</w:t>
            </w:r>
          </w:p>
        </w:tc>
        <w:tc>
          <w:tcPr/>
          <w:p>
            <w:pPr>
              <w:pStyle w:val="Compact"/>
              <w:jc w:val="left"/>
            </w:pPr>
            <w:r>
              <w:t xml:space="preserve">Education Administrator – Teacher Performance Evaluation &amp; Professional Development Coordination, Japan Kyoto District</w:t>
            </w:r>
          </w:p>
        </w:tc>
        <w:tc>
          <w:tcPr/>
          <w:p>
            <w:pPr>
              <w:pStyle w:val="Compact"/>
              <w:jc w:val="left"/>
            </w:pPr>
            <w:r>
              <w:t xml:space="preserve">95,000</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1,140,000</w:t>
            </w:r>
          </w:p>
        </w:tc>
      </w:tr>
      <w:tr>
        <w:tc>
          <w:tcPr/>
          <w:p>
            <w:pPr>
              <w:pStyle w:val="Compact"/>
              <w:jc w:val="left"/>
            </w:pPr>
            <w:r>
              <w:t xml:space="preserve">3</w:t>
            </w:r>
          </w:p>
        </w:tc>
        <w:tc>
          <w:tcPr/>
          <w:p>
            <w:pPr>
              <w:pStyle w:val="Compact"/>
              <w:jc w:val="left"/>
            </w:pPr>
            <w:r>
              <w:t xml:space="preserve">Education Administrator – Student Enrollment Management &amp; Records Administration for Japan Kyoto Municipal Schools</w:t>
            </w:r>
          </w:p>
        </w:tc>
        <w:tc>
          <w:tcPr/>
          <w:p>
            <w:pPr>
              <w:pStyle w:val="Compact"/>
              <w:jc w:val="left"/>
            </w:pPr>
            <w:r>
              <w:t xml:space="preserve">72,000</w:t>
            </w:r>
          </w:p>
        </w:tc>
        <w:tc>
          <w:tcPr/>
          <w:p>
            <w:pPr>
              <w:pStyle w:val="Compact"/>
              <w:jc w:val="left"/>
            </w:pPr>
            <w:r>
              <w:t xml:space="preserve">1</w:t>
            </w:r>
          </w:p>
        </w:tc>
        <w:tc>
          <w:tcPr/>
          <w:p>
            <w:pPr>
              <w:pStyle w:val="Compact"/>
              <w:jc w:val="left"/>
            </w:pPr>
            <w:r>
              <w:t xml:space="preserve">Quarter</w:t>
            </w:r>
          </w:p>
        </w:tc>
        <w:tc>
          <w:tcPr/>
          <w:p>
            <w:pPr>
              <w:pStyle w:val="Compact"/>
              <w:jc w:val="left"/>
            </w:pPr>
            <w:r>
              <w:t xml:space="preserve">72,000</w:t>
            </w:r>
          </w:p>
        </w:tc>
      </w:tr>
      <w:tr>
        <w:tc>
          <w:tcPr/>
          <w:p>
            <w:pPr>
              <w:pStyle w:val="Compact"/>
              <w:jc w:val="left"/>
            </w:pPr>
            <w:r>
              <w:t xml:space="preserve">4</w:t>
            </w:r>
          </w:p>
        </w:tc>
        <w:tc>
          <w:tcPr/>
          <w:p>
            <w:pPr>
              <w:pStyle w:val="Compact"/>
              <w:jc w:val="left"/>
            </w:pPr>
            <w:r>
              <w:t xml:space="preserve">Education Administrator – Budget Planning &amp; Financial Reporting for Japan Kyoto Education Facilities</w:t>
            </w:r>
          </w:p>
        </w:tc>
        <w:tc>
          <w:tcPr/>
          <w:p>
            <w:pPr>
              <w:pStyle w:val="Compact"/>
              <w:jc w:val="left"/>
            </w:pPr>
            <w:r>
              <w:t xml:space="preserve">120,000</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Education Administrator – Inter-School Coordination &amp; Community Liaison Services, Japan Kyoto Prefecture</w:t>
            </w:r>
          </w:p>
        </w:tc>
        <w:tc>
          <w:tcPr/>
          <w:p>
            <w:pPr>
              <w:pStyle w:val="Compact"/>
              <w:jc w:val="left"/>
            </w:pPr>
            <w:r>
              <w:t xml:space="preserve">45,000</w:t>
            </w:r>
          </w:p>
        </w:tc>
        <w:tc>
          <w:tcPr/>
          <w:p>
            <w:pPr>
              <w:pStyle w:val="Compact"/>
              <w:jc w:val="left"/>
            </w:pPr>
            <w:r>
              <w:t xml:space="preserve">8</w:t>
            </w:r>
          </w:p>
        </w:tc>
        <w:tc>
          <w:tcPr/>
          <w:p>
            <w:pPr>
              <w:pStyle w:val="Compact"/>
              <w:jc w:val="left"/>
            </w:pPr>
            <w:r>
              <w:t xml:space="preserve">Days</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Education Administrator – Compliance Auditing &amp; Regulatory Reporting (MEXT Standards), Japan Kyoto Region</w:t>
            </w:r>
          </w:p>
        </w:tc>
        <w:tc>
          <w:tcPr/>
          <w:p>
            <w:pPr>
              <w:pStyle w:val="Compact"/>
              <w:jc w:val="left"/>
            </w:pPr>
            <w:r>
              <w:t xml:space="preserve">68,000</w:t>
            </w:r>
          </w:p>
        </w:tc>
        <w:tc>
          <w:tcPr/>
          <w:p>
            <w:pPr>
              <w:pStyle w:val="Compact"/>
              <w:jc w:val="left"/>
            </w:pPr>
            <w:r>
              <w:t xml:space="preserve">2</w:t>
            </w:r>
          </w:p>
        </w:tc>
        <w:tc>
          <w:tcPr/>
          <w:p>
            <w:pPr>
              <w:pStyle w:val="Compact"/>
              <w:jc w:val="left"/>
            </w:pPr>
            <w:r>
              <w:t xml:space="preserve">Audits</w:t>
            </w:r>
          </w:p>
        </w:tc>
        <w:tc>
          <w:tcPr/>
          <w:p>
            <w:pPr>
              <w:pStyle w:val="Compact"/>
              <w:jc w:val="left"/>
            </w:pPr>
            <w:r>
              <w:t xml:space="preserve">136,000</w:t>
            </w:r>
          </w:p>
        </w:tc>
      </w:tr>
      <w:tr>
        <w:tc>
          <w:tcPr/>
          <w:p>
            <w:pPr>
              <w:pStyle w:val="Compact"/>
              <w:jc w:val="left"/>
            </w:pPr>
            <w:r>
              <w:t xml:space="preserve">7</w:t>
            </w:r>
          </w:p>
        </w:tc>
        <w:tc>
          <w:tcPr/>
          <w:p>
            <w:pPr>
              <w:pStyle w:val="Compact"/>
              <w:jc w:val="left"/>
            </w:pPr>
            <w:r>
              <w:t xml:space="preserve">Education Administrator – Emergency Response Planning &amp; Crisis Management Training, Japan Kyoto Schools</w:t>
            </w:r>
          </w:p>
        </w:tc>
        <w:tc>
          <w:tcPr/>
          <w:p>
            <w:pPr>
              <w:pStyle w:val="Compact"/>
              <w:jc w:val="left"/>
            </w:pPr>
            <w:r>
              <w:t xml:space="preserve">55,000</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220,000</w:t>
            </w:r>
          </w:p>
        </w:tc>
      </w:tr>
      <w:tr>
        <w:tc>
          <w:tcPr/>
          <w:p>
            <w:pPr>
              <w:pStyle w:val="Compact"/>
              <w:jc w:val="left"/>
            </w:pPr>
            <w:r>
              <w:t xml:space="preserve">8</w:t>
            </w:r>
          </w:p>
        </w:tc>
        <w:tc>
          <w:tcPr/>
          <w:p>
            <w:pPr>
              <w:pStyle w:val="Compact"/>
              <w:jc w:val="left"/>
            </w:pPr>
            <w:r>
              <w:t xml:space="preserve">Education Administrator – Technology Integration Oversight &amp; Digital Learning Infrastructure Management, Japan Kyoto</w:t>
            </w:r>
          </w:p>
        </w:tc>
        <w:tc>
          <w:tcPr/>
          <w:p>
            <w:pPr>
              <w:pStyle w:val="Compact"/>
              <w:jc w:val="left"/>
            </w:pPr>
            <w:r>
              <w:t xml:space="preserve">88,000</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264,000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3,807,000 JPY</w:t>
            </w:r>
          </w:p>
        </w:tc>
      </w:tr>
      <w:tr>
        <w:tc>
          <w:tcPr/>
          <w:p>
            <w:pPr>
              <w:pStyle w:val="Compact"/>
              <w:jc w:val="left"/>
            </w:pPr>
            <w:r>
              <w:t xml:space="preserve">Japan Consumption Tax (10%)</w:t>
            </w:r>
          </w:p>
        </w:tc>
        <w:tc>
          <w:tcPr/>
          <w:p>
            <w:pPr>
              <w:pStyle w:val="Compact"/>
              <w:jc w:val="left"/>
            </w:pPr>
            <w:r>
              <w:t xml:space="preserve">380,700 JPY</w:t>
            </w:r>
          </w:p>
        </w:tc>
      </w:tr>
      <w:tr>
        <w:tc>
          <w:tcPr/>
          <w:p>
            <w:pPr>
              <w:pStyle w:val="Compact"/>
              <w:jc w:val="left"/>
            </w:pPr>
            <w:r>
              <w:t xml:space="preserve">Administrative Processing Fee</w:t>
            </w:r>
          </w:p>
        </w:tc>
        <w:tc>
          <w:tcPr/>
          <w:p>
            <w:pPr>
              <w:pStyle w:val="Compact"/>
              <w:jc w:val="left"/>
            </w:pPr>
            <w:r>
              <w:t xml:space="preserve">15,000 JPY</w:t>
            </w:r>
          </w:p>
        </w:tc>
      </w:tr>
      <w:tr>
        <w:tc>
          <w:tcPr/>
          <w:p>
            <w:pPr>
              <w:pStyle w:val="Compact"/>
              <w:jc w:val="left"/>
            </w:pPr>
            <w:r>
              <w:t xml:space="preserve">Grand Total Due</w:t>
            </w:r>
          </w:p>
        </w:tc>
        <w:tc>
          <w:tcPr/>
          <w:p>
            <w:pPr>
              <w:pStyle w:val="Compact"/>
              <w:jc w:val="left"/>
            </w:pPr>
            <w:r>
              <w:t xml:space="preserve">4,202,700 JPY</w:t>
            </w:r>
          </w:p>
        </w:tc>
      </w:tr>
    </w:tbl>
    <w:bookmarkStart w:id="24" w:name="invoice-notes-service-summary"/>
    <w:p>
      <w:pPr>
        <w:pStyle w:val="Heading3"/>
      </w:pPr>
      <w:r>
        <w:t xml:space="preserve">Invoice Notes &amp; Service Summary</w:t>
      </w:r>
    </w:p>
    <w:p>
      <w:pPr>
        <w:pStyle w:val="FirstParagraph"/>
      </w:pPr>
      <w:r>
        <w:t xml:space="preserve">This Invoice is issued by Kyoto Academic Administration Services Co., Ltd. in accordance with the service agreement (Contract No. KMA-2025-0112) between the Education Administrator and the Kyoto Municipal Education Board. The Education Administrator, Sato Yuki, M.Ed., has provided comprehensive administrative leadership services across all Japan Kyoto municipal schools during the second quarter of fiscal year 2025.</w:t>
      </w:r>
    </w:p>
    <w:p>
      <w:pPr>
        <w:pStyle w:val="BodyText"/>
      </w:pPr>
      <w:r>
        <w:t xml:space="preserve">All services rendered by the Education Administrator were conducted in full compliance with the Ministry of Education, Culture, Sports, Science and Technology (MEXT) guidelines applicable to the Japan Kyoto region. The Education Administrator oversaw curriculum alignment, staff development, student welfare protocols, and inter-institutional coordination across 47 schools within the Japan Kyoto municipal district.</w:t>
      </w:r>
    </w:p>
    <w:p>
      <w:pPr>
        <w:pStyle w:val="BodyText"/>
      </w:pPr>
      <w:r>
        <w:t xml:space="preserve">This Invoice reflects the complete and final billing for the service period specified above. No additional charges will be incurred for the Education Administrator's services during this period unless a formal amendment to the service agreement is executed in writing by both parties.</w:t>
      </w:r>
    </w:p>
    <w:bookmarkEnd w:id="24"/>
    <w:bookmarkStart w:id="25" w:name="payment-terms-conditions"/>
    <w:p>
      <w:pPr>
        <w:pStyle w:val="Heading3"/>
      </w:pPr>
      <w:r>
        <w:t xml:space="preserve">Payment Terms &amp; Conditions</w:t>
      </w:r>
    </w:p>
    <w:p>
      <w:pPr>
        <w:pStyle w:val="FirstParagraph"/>
      </w:pPr>
      <w:r>
        <w:rPr>
          <w:bCs/>
          <w:b/>
        </w:rPr>
        <w:t xml:space="preserve">1. Payment Due Date:</w:t>
      </w:r>
      <w:r>
        <w:t xml:space="preserve"> </w:t>
      </w:r>
      <w:r>
        <w:t xml:space="preserve">This Invoice is payable within thirty (30) calendar days from the issue date, no later than July 15, 2025. Payment is to be made via bank transfer to the account specified below.</w:t>
      </w:r>
    </w:p>
    <w:p>
      <w:pPr>
        <w:pStyle w:val="BodyText"/>
      </w:pPr>
      <w:r>
        <w:rPr>
          <w:bCs/>
          <w:b/>
        </w:rPr>
        <w:t xml:space="preserve">2. Bank Details:</w:t>
      </w:r>
      <w:r>
        <w:t xml:space="preserve"> </w:t>
      </w:r>
      <w:r>
        <w:t xml:space="preserve">Bank of Kyoto, Higashiyama Branch | Account Name: Kyoto Academic Administration Services Co., Ltd. | Account Number: 001234567890 | Bank Code: 0009 | Branch Code: 123</w:t>
      </w:r>
    </w:p>
    <w:p>
      <w:pPr>
        <w:pStyle w:val="BodyText"/>
      </w:pPr>
      <w:r>
        <w:rPr>
          <w:bCs/>
          <w:b/>
        </w:rPr>
        <w:t xml:space="preserve">3. Late Payment:</w:t>
      </w:r>
      <w:r>
        <w:t xml:space="preserve"> </w:t>
      </w:r>
      <w:r>
        <w:t xml:space="preserve">A late payment surcharge of 1.5% per month (18% annual rate) shall be applied to any outstanding balance beyond the due date, in accordance with Japan's Late Payment of Compensation Act (Act No. 51 of 1999).</w:t>
      </w:r>
    </w:p>
    <w:p>
      <w:pPr>
        <w:pStyle w:val="BodyText"/>
      </w:pPr>
      <w:r>
        <w:rPr>
          <w:bCs/>
          <w:b/>
        </w:rPr>
        <w:t xml:space="preserve">4. Disputes:</w:t>
      </w:r>
      <w:r>
        <w:t xml:space="preserve"> </w:t>
      </w:r>
      <w:r>
        <w:t xml:space="preserve">Any disputes regarding this Invoice or the services provided by the Education Administrator must be submitted in writing within fourteen (14) days of the Invoice issue date. The Education Administrator will respond within ten (10) business days.</w:t>
      </w:r>
    </w:p>
    <w:p>
      <w:pPr>
        <w:pStyle w:val="BodyText"/>
      </w:pPr>
      <w:r>
        <w:rPr>
          <w:bCs/>
          <w:b/>
        </w:rPr>
        <w:t xml:space="preserve">5. Governing Law:</w:t>
      </w:r>
      <w:r>
        <w:t xml:space="preserve"> </w:t>
      </w:r>
      <w:r>
        <w:t xml:space="preserve">This Invoice and the underlying service agreement are governed by the laws of Japan, with jurisdiction in the Kyoto District Court, Japan Kyoto.</w:t>
      </w:r>
    </w:p>
    <w:p>
      <w:pPr>
        <w:pStyle w:val="BodyText"/>
      </w:pPr>
      <w:r>
        <w:rPr>
          <w:bCs/>
          <w:b/>
        </w:rPr>
        <w:t xml:space="preserve">6. Tax Compliance:</w:t>
      </w:r>
      <w:r>
        <w:t xml:space="preserve"> </w:t>
      </w:r>
      <w:r>
        <w:t xml:space="preserve">The Japan Consumption Tax (10%) applied on this Invoice is in accordance with the Consumption Tax Act of Japan (Act No. 97 of 1989). A tax invoice (zeirai kinyu-sho) is available upon request for the Education Administrator's services.</w:t>
      </w:r>
    </w:p>
    <w:p>
      <w:pPr>
        <w:pStyle w:val="BodyText"/>
      </w:pPr>
      <w:r>
        <w:rPr>
          <w:bCs/>
          <w:b/>
        </w:rPr>
        <w:t xml:space="preserve">7. Confidentiality:</w:t>
      </w:r>
      <w:r>
        <w:t xml:space="preserve"> </w:t>
      </w:r>
      <w:r>
        <w:t xml:space="preserve">All information contained in this Invoice and related to the Education Administrator's services in Japan Kyoto is confidential and shall not be disclosed to third parties without written consent.</w:t>
      </w:r>
    </w:p>
    <w:bookmarkEnd w:id="25"/>
    <w:p>
      <w:pPr>
        <w:pStyle w:val="BodyText"/>
      </w:pPr>
      <w:r>
        <w:rPr>
          <w:bCs/>
          <w:b/>
        </w:rPr>
        <w:t xml:space="preserve">Kyoto Academic Administration Services Co., Ltd.</w:t>
      </w:r>
      <w:r>
        <w:t xml:space="preserve"> </w:t>
      </w:r>
      <w:r>
        <w:t xml:space="preserve">| 12-34 Higashiyama-ku, Kyoto 605-0001, Japan</w:t>
      </w:r>
    </w:p>
    <w:p>
      <w:pPr>
        <w:pStyle w:val="BodyText"/>
      </w:pPr>
      <w:r>
        <w:t xml:space="preserve">This Invoice was generated electronically and is valid without a physical signature. For verification, contact billing@kyoto-education-admin.jp or +81-75-123-4567.</w:t>
      </w:r>
    </w:p>
    <w:p>
      <w:pPr>
        <w:pStyle w:val="BodyText"/>
      </w:pPr>
      <w:r>
        <w:t xml:space="preserve">Thank you for your business. We appreciate the opportunity to serve the Japan Kyoto education community through our dedicated Education Administrator services.</w:t>
      </w:r>
    </w:p>
    <w:p>
      <w:pPr>
        <w:pStyle w:val="BodyText"/>
      </w:pPr>
      <w:r>
        <w:t xml:space="preserve">Invoice KYO-EA-2025-00487 | Generated: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Japan Kyoto</dc:title>
  <dc:creator/>
  <dc:language>en</dc:language>
  <cp:keywords/>
  <dcterms:created xsi:type="dcterms:W3CDTF">2026-10-10T08:37:30Z</dcterms:created>
  <dcterms:modified xsi:type="dcterms:W3CDTF">2026-10-10T08:37:30Z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