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Invoice</w:t>
      </w:r>
    </w:p>
    <w:p>
      <w:pPr>
        <w:pStyle w:val="BodyText"/>
      </w:pPr>
      <w:r>
        <w:t xml:space="preserve">Education Administrator Professional Services — Japan Osaka Region</w:t>
      </w:r>
    </w:p>
    <w:p>
      <w:pPr>
        <w:pStyle w:val="BodyText"/>
      </w:pPr>
      <w:r>
        <w:rPr>
          <w:bCs/>
          <w:b/>
        </w:rPr>
        <w:t xml:space="preserve">Osaka Education Administration Services Co., Ltd.</w:t>
      </w:r>
      <w:r>
        <w:br/>
      </w:r>
      <w:r>
        <w:t xml:space="preserve">3-15-24 Umeda, Kita-ku</w:t>
      </w:r>
      <w:r>
        <w:br/>
      </w:r>
      <w:r>
        <w:t xml:space="preserve">Osaka 530-0001, Japan</w:t>
      </w:r>
      <w:r>
        <w:br/>
      </w:r>
      <w:r>
        <w:t xml:space="preserve">Tel: +81-6-6371-8842</w:t>
      </w:r>
      <w:r>
        <w:br/>
      </w:r>
      <w:r>
        <w:t xml:space="preserve">Email: billing@osaka-edu-admin.jp</w:t>
      </w:r>
      <w:r>
        <w:br/>
      </w:r>
      <w:r>
        <w:t xml:space="preserve">Corporate Number: 4110001234567</w:t>
      </w:r>
      <w:r>
        <w:br/>
      </w:r>
      <w:r>
        <w:t xml:space="preserve">Tax Registration: Osaka Prefecture No. 0012-3456-789</w:t>
      </w:r>
    </w:p>
    <w:bookmarkStart w:id="20" w:name="invoice-details"/>
    <w:p>
      <w:pPr>
        <w:pStyle w:val="Heading4"/>
      </w:pPr>
      <w:r>
        <w:t xml:space="preserve">Invoice Details</w:t>
      </w:r>
    </w:p>
    <w:p>
      <w:pPr>
        <w:pStyle w:val="FirstParagraph"/>
      </w:pPr>
      <w:r>
        <w:rPr>
          <w:bCs/>
          <w:b/>
        </w:rPr>
        <w:t xml:space="preserve">Invoice Number:</w:t>
      </w:r>
      <w:r>
        <w:t xml:space="preserve"> </w:t>
      </w:r>
      <w:r>
        <w:t xml:space="preserve">OSA-EDU-2025-04187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2025 – June 30, 2025</w:t>
      </w:r>
    </w:p>
    <w:bookmarkEnd w:id="20"/>
    <w:bookmarkStart w:id="21" w:name="billed-to"/>
    <w:p>
      <w:pPr>
        <w:pStyle w:val="Heading4"/>
      </w:pPr>
      <w:r>
        <w:t xml:space="preserve">Billed To</w:t>
      </w:r>
    </w:p>
    <w:p>
      <w:pPr>
        <w:pStyle w:val="FirstParagraph"/>
      </w:pPr>
      <w:r>
        <w:rPr>
          <w:bCs/>
          <w:b/>
        </w:rPr>
        <w:t xml:space="preserve">Osaka Metropolitan Board of Education</w:t>
      </w:r>
    </w:p>
    <w:p>
      <w:pPr>
        <w:pStyle w:val="BodyText"/>
      </w:pPr>
      <w:r>
        <w:t xml:space="preserve">Attn: Director of Administrative Operations</w:t>
      </w:r>
    </w:p>
    <w:p>
      <w:pPr>
        <w:pStyle w:val="BodyText"/>
      </w:pPr>
      <w:r>
        <w:t xml:space="preserve">1-1-1 Nakanoshima, Kita-ku</w:t>
      </w:r>
    </w:p>
    <w:p>
      <w:pPr>
        <w:pStyle w:val="BodyText"/>
      </w:pPr>
      <w:r>
        <w:t xml:space="preserve">Osaka 530-0009, Japan</w:t>
      </w:r>
    </w:p>
    <w:p>
      <w:pPr>
        <w:pStyle w:val="BodyText"/>
      </w:pPr>
      <w:r>
        <w:t xml:space="preserve">PO Reference: OMBE-2025-Q2-0093</w:t>
      </w:r>
    </w:p>
    <w:bookmarkEnd w:id="21"/>
    <w:bookmarkStart w:id="22" w:name="service-provider"/>
    <w:p>
      <w:pPr>
        <w:pStyle w:val="Heading4"/>
      </w:pPr>
      <w:r>
        <w:t xml:space="preserve">Service Provider</w:t>
      </w:r>
    </w:p>
    <w:p>
      <w:pPr>
        <w:pStyle w:val="FirstParagraph"/>
      </w:pPr>
      <w:r>
        <w:rPr>
          <w:bCs/>
          <w:b/>
        </w:rPr>
        <w:t xml:space="preserve">Education Administrator</w:t>
      </w:r>
    </w:p>
    <w:p>
      <w:pPr>
        <w:pStyle w:val="BodyText"/>
      </w:pPr>
      <w:r>
        <w:t xml:space="preserve">Name: Kenji Tanaka, M.Ed.</w:t>
      </w:r>
    </w:p>
    <w:p>
      <w:pPr>
        <w:pStyle w:val="BodyText"/>
      </w:pPr>
      <w:r>
        <w:t xml:space="preserve">Role: Senior Education Administrator</w:t>
      </w:r>
    </w:p>
    <w:p>
      <w:pPr>
        <w:pStyle w:val="BodyText"/>
      </w:pPr>
      <w:r>
        <w:t xml:space="preserve">License No: JPA-EDU-2019-4472</w:t>
      </w:r>
    </w:p>
    <w:p>
      <w:pPr>
        <w:pStyle w:val="BodyText"/>
      </w:pPr>
      <w:r>
        <w:t xml:space="preserve">Based in: Japan Osaka, Umeda District</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Comprehensive curriculum oversight and academic standards compliance review for all public schools within the Japan Osaka metropolitan district. The Education Administrator conducted on-site evaluations at 47 institutions to ensure alignment with national Ministry of Education guidelines.</w:t>
            </w:r>
          </w:p>
        </w:tc>
        <w:tc>
          <w:tcPr/>
          <w:p>
            <w:pPr>
              <w:pStyle w:val="Compact"/>
              <w:jc w:val="left"/>
            </w:pPr>
            <w:r>
              <w:t xml:space="preserve">Curriculum Administration</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Personnel management and staffing coordination for the Education Administrator role across Japan Osaka school districts. Includes recruitment oversight, performance evaluations, professional development scheduling, and labor compliance with Osaka Prefecture education labor regulations.</w:t>
            </w:r>
          </w:p>
        </w:tc>
        <w:tc>
          <w:tcPr/>
          <w:p>
            <w:pPr>
              <w:pStyle w:val="Compact"/>
              <w:jc w:val="left"/>
            </w:pPr>
            <w:r>
              <w:t xml:space="preserve">Human Resources</w:t>
            </w:r>
          </w:p>
        </w:tc>
        <w:tc>
          <w:tcPr/>
          <w:p>
            <w:pPr>
              <w:pStyle w:val="Compact"/>
              <w:jc w:val="left"/>
            </w:pPr>
            <w:r>
              <w:t xml:space="preserve">85 hrs</w:t>
            </w:r>
          </w:p>
        </w:tc>
        <w:tc>
          <w:tcPr/>
          <w:p>
            <w:pPr>
              <w:pStyle w:val="Compact"/>
              <w:jc w:val="left"/>
            </w:pPr>
            <w:r>
              <w:t xml:space="preserve">9,200</w:t>
            </w:r>
          </w:p>
        </w:tc>
        <w:tc>
          <w:tcPr/>
          <w:p>
            <w:pPr>
              <w:pStyle w:val="Compact"/>
              <w:jc w:val="left"/>
            </w:pPr>
            <w:r>
              <w:t xml:space="preserve">782,000</w:t>
            </w:r>
          </w:p>
        </w:tc>
      </w:tr>
      <w:tr>
        <w:tc>
          <w:tcPr/>
          <w:p>
            <w:pPr>
              <w:pStyle w:val="Compact"/>
              <w:jc w:val="left"/>
            </w:pPr>
            <w:r>
              <w:t xml:space="preserve">3</w:t>
            </w:r>
          </w:p>
        </w:tc>
        <w:tc>
          <w:tcPr/>
          <w:p>
            <w:pPr>
              <w:pStyle w:val="Compact"/>
              <w:jc w:val="left"/>
            </w:pPr>
            <w:r>
              <w:t xml:space="preserve">Budget planning and fiscal management for the 2025-2026 academic year. The Education Administrator prepared detailed expenditure forecasts, allocated funds across 112 schools in Japan Osaka, and submitted quarterly financial reports to the Osaka Metropolitan Government.</w:t>
            </w:r>
          </w:p>
        </w:tc>
        <w:tc>
          <w:tcPr/>
          <w:p>
            <w:pPr>
              <w:pStyle w:val="Compact"/>
              <w:jc w:val="left"/>
            </w:pPr>
            <w:r>
              <w:t xml:space="preserve">Fiscal Administration</w:t>
            </w:r>
          </w:p>
        </w:tc>
        <w:tc>
          <w:tcPr/>
          <w:p>
            <w:pPr>
              <w:pStyle w:val="Compact"/>
              <w:jc w:val="left"/>
            </w:pPr>
            <w:r>
              <w:t xml:space="preserve">96 hrs</w:t>
            </w:r>
          </w:p>
        </w:tc>
        <w:tc>
          <w:tcPr/>
          <w:p>
            <w:pPr>
              <w:pStyle w:val="Compact"/>
              <w:jc w:val="left"/>
            </w:pPr>
            <w:r>
              <w:t xml:space="preserve">8,800</w:t>
            </w:r>
          </w:p>
        </w:tc>
        <w:tc>
          <w:tcPr/>
          <w:p>
            <w:pPr>
              <w:pStyle w:val="Compact"/>
              <w:jc w:val="left"/>
            </w:pPr>
            <w:r>
              <w:t xml:space="preserve">844,800</w:t>
            </w:r>
          </w:p>
        </w:tc>
      </w:tr>
      <w:tr>
        <w:tc>
          <w:tcPr/>
          <w:p>
            <w:pPr>
              <w:pStyle w:val="Compact"/>
              <w:jc w:val="left"/>
            </w:pPr>
            <w:r>
              <w:t xml:space="preserve">4</w:t>
            </w:r>
          </w:p>
        </w:tc>
        <w:tc>
          <w:tcPr/>
          <w:p>
            <w:pPr>
              <w:pStyle w:val="Compact"/>
              <w:jc w:val="left"/>
            </w:pPr>
            <w:r>
              <w:t xml:space="preserve">Facility management and infrastructure oversight. The Education Administrator coordinated maintenance schedules, safety inspections, and renovation projects for school buildings across Japan Osaka. This included emergency preparedness planning in compliance with Osaka City disaster management protocols.</w:t>
            </w:r>
          </w:p>
        </w:tc>
        <w:tc>
          <w:tcPr/>
          <w:p>
            <w:pPr>
              <w:pStyle w:val="Compact"/>
              <w:jc w:val="left"/>
            </w:pPr>
            <w:r>
              <w:t xml:space="preserve">Facilities &amp; Safety</w:t>
            </w:r>
          </w:p>
        </w:tc>
        <w:tc>
          <w:tcPr/>
          <w:p>
            <w:pPr>
              <w:pStyle w:val="Compact"/>
              <w:jc w:val="left"/>
            </w:pPr>
            <w:r>
              <w:t xml:space="preserve">72 hrs</w:t>
            </w:r>
          </w:p>
        </w:tc>
        <w:tc>
          <w:tcPr/>
          <w:p>
            <w:pPr>
              <w:pStyle w:val="Compact"/>
              <w:jc w:val="left"/>
            </w:pPr>
            <w:r>
              <w:t xml:space="preserve">7,900</w:t>
            </w:r>
          </w:p>
        </w:tc>
        <w:tc>
          <w:tcPr/>
          <w:p>
            <w:pPr>
              <w:pStyle w:val="Compact"/>
              <w:jc w:val="left"/>
            </w:pPr>
            <w:r>
              <w:t xml:space="preserve">568,800</w:t>
            </w:r>
          </w:p>
        </w:tc>
      </w:tr>
      <w:tr>
        <w:tc>
          <w:tcPr/>
          <w:p>
            <w:pPr>
              <w:pStyle w:val="Compact"/>
              <w:jc w:val="left"/>
            </w:pPr>
            <w:r>
              <w:t xml:space="preserve">5</w:t>
            </w:r>
          </w:p>
        </w:tc>
        <w:tc>
          <w:tcPr/>
          <w:p>
            <w:pPr>
              <w:pStyle w:val="Compact"/>
              <w:jc w:val="left"/>
            </w:pPr>
            <w:r>
              <w:t xml:space="preserve">Community engagement and stakeholder liaison services. The Education Administrator organized 14 public forums, parent-teacher association meetings, and inter-district coordination sessions throughout Japan Osaka to address educational policy concerns and gather community feedback for the Board of Education.</w:t>
            </w:r>
          </w:p>
        </w:tc>
        <w:tc>
          <w:tcPr/>
          <w:p>
            <w:pPr>
              <w:pStyle w:val="Compact"/>
              <w:jc w:val="left"/>
            </w:pPr>
            <w:r>
              <w:t xml:space="preserve">Community Relations</w:t>
            </w:r>
          </w:p>
        </w:tc>
        <w:tc>
          <w:tcPr/>
          <w:p>
            <w:pPr>
              <w:pStyle w:val="Compact"/>
              <w:jc w:val="left"/>
            </w:pPr>
            <w:r>
              <w:t xml:space="preserve">60 hrs</w:t>
            </w:r>
          </w:p>
        </w:tc>
        <w:tc>
          <w:tcPr/>
          <w:p>
            <w:pPr>
              <w:pStyle w:val="Compact"/>
              <w:jc w:val="left"/>
            </w:pPr>
            <w:r>
              <w:t xml:space="preserve">8,200</w:t>
            </w:r>
          </w:p>
        </w:tc>
        <w:tc>
          <w:tcPr/>
          <w:p>
            <w:pPr>
              <w:pStyle w:val="Compact"/>
              <w:jc w:val="left"/>
            </w:pPr>
            <w:r>
              <w:t xml:space="preserve">492,000</w:t>
            </w:r>
          </w:p>
        </w:tc>
      </w:tr>
      <w:tr>
        <w:tc>
          <w:tcPr/>
          <w:p>
            <w:pPr>
              <w:pStyle w:val="Compact"/>
              <w:jc w:val="left"/>
            </w:pPr>
            <w:r>
              <w:t xml:space="preserve">6</w:t>
            </w:r>
          </w:p>
        </w:tc>
        <w:tc>
          <w:tcPr/>
          <w:p>
            <w:pPr>
              <w:pStyle w:val="Compact"/>
              <w:jc w:val="left"/>
            </w:pPr>
            <w:r>
              <w:t xml:space="preserve">Technology integration and digital transformation support. The Education Administrator oversaw the deployment of new learning management systems, digital record-keeping platforms, and cybersecurity measures across all Japan Osaka educational institutions for the current fiscal quarter.</w:t>
            </w:r>
          </w:p>
        </w:tc>
        <w:tc>
          <w:tcPr/>
          <w:p>
            <w:pPr>
              <w:pStyle w:val="Compact"/>
              <w:jc w:val="left"/>
            </w:pPr>
            <w:r>
              <w:t xml:space="preserve">IT &amp; Digital Services</w:t>
            </w:r>
          </w:p>
        </w:tc>
        <w:tc>
          <w:tcPr/>
          <w:p>
            <w:pPr>
              <w:pStyle w:val="Compact"/>
              <w:jc w:val="left"/>
            </w:pPr>
            <w:r>
              <w:t xml:space="preserve">54 hrs</w:t>
            </w:r>
          </w:p>
        </w:tc>
        <w:tc>
          <w:tcPr/>
          <w:p>
            <w:pPr>
              <w:pStyle w:val="Compact"/>
              <w:jc w:val="left"/>
            </w:pPr>
            <w:r>
              <w:t xml:space="preserve">9,500</w:t>
            </w:r>
          </w:p>
        </w:tc>
        <w:tc>
          <w:tcPr/>
          <w:p>
            <w:pPr>
              <w:pStyle w:val="Compact"/>
              <w:jc w:val="left"/>
            </w:pPr>
            <w:r>
              <w:t xml:space="preserve">513,000</w:t>
            </w:r>
          </w:p>
        </w:tc>
      </w:tr>
      <w:tr>
        <w:tc>
          <w:tcPr/>
          <w:p>
            <w:pPr>
              <w:pStyle w:val="Compact"/>
              <w:jc w:val="left"/>
            </w:pPr>
            <w:r>
              <w:t xml:space="preserve">7</w:t>
            </w:r>
          </w:p>
        </w:tc>
        <w:tc>
          <w:tcPr/>
          <w:p>
            <w:pPr>
              <w:pStyle w:val="Compact"/>
              <w:jc w:val="left"/>
            </w:pPr>
            <w:r>
              <w:t xml:space="preserve">Regulatory compliance and legal advisory. The Education Administrator ensured all administrative operations in Japan Osaka met the requirements of the School Education Act, Osaka Prefecture Education Ordinance, and national data protection standards. Includes preparation of 23 compliance reports and 4 legal briefs.</w:t>
            </w:r>
          </w:p>
        </w:tc>
        <w:tc>
          <w:tcPr/>
          <w:p>
            <w:pPr>
              <w:pStyle w:val="Compact"/>
              <w:jc w:val="left"/>
            </w:pPr>
            <w:r>
              <w:t xml:space="preserve">Legal &amp; Compliance</w:t>
            </w:r>
          </w:p>
        </w:tc>
        <w:tc>
          <w:tcPr/>
          <w:p>
            <w:pPr>
              <w:pStyle w:val="Compact"/>
              <w:jc w:val="left"/>
            </w:pPr>
            <w:r>
              <w:t xml:space="preserve">48 hrs</w:t>
            </w:r>
          </w:p>
        </w:tc>
        <w:tc>
          <w:tcPr/>
          <w:p>
            <w:pPr>
              <w:pStyle w:val="Compact"/>
              <w:jc w:val="left"/>
            </w:pPr>
            <w:r>
              <w:t xml:space="preserve">10,500</w:t>
            </w:r>
          </w:p>
        </w:tc>
        <w:tc>
          <w:tcPr/>
          <w:p>
            <w:pPr>
              <w:pStyle w:val="Compact"/>
              <w:jc w:val="left"/>
            </w:pPr>
            <w:r>
              <w:t xml:space="preserve">504,000</w:t>
            </w:r>
          </w:p>
        </w:tc>
      </w:tr>
      <w:tr>
        <w:tc>
          <w:tcPr/>
          <w:p>
            <w:pPr>
              <w:pStyle w:val="Compact"/>
              <w:jc w:val="left"/>
            </w:pPr>
            <w:r>
              <w:t xml:space="preserve">8</w:t>
            </w:r>
          </w:p>
        </w:tc>
        <w:tc>
          <w:tcPr/>
          <w:p>
            <w:pPr>
              <w:pStyle w:val="Compact"/>
              <w:jc w:val="left"/>
            </w:pPr>
            <w:r>
              <w:t xml:space="preserve">Special education program coordination and inclusive education policy implementation. The Education Administrator managed resource allocation, specialist staffing, and individualized education plan reviews for 3,200 students with special needs across Japan Osaka schools.</w:t>
            </w:r>
          </w:p>
        </w:tc>
        <w:tc>
          <w:tcPr/>
          <w:p>
            <w:pPr>
              <w:pStyle w:val="Compact"/>
              <w:jc w:val="left"/>
            </w:pPr>
            <w:r>
              <w:t xml:space="preserve">Inclusive Education</w:t>
            </w:r>
          </w:p>
        </w:tc>
        <w:tc>
          <w:tcPr/>
          <w:p>
            <w:pPr>
              <w:pStyle w:val="Compact"/>
              <w:jc w:val="left"/>
            </w:pPr>
            <w:r>
              <w:t xml:space="preserve">66 hrs</w:t>
            </w:r>
          </w:p>
        </w:tc>
        <w:tc>
          <w:tcPr/>
          <w:p>
            <w:pPr>
              <w:pStyle w:val="Compact"/>
              <w:jc w:val="left"/>
            </w:pPr>
            <w:r>
              <w:t xml:space="preserve">8,600</w:t>
            </w:r>
          </w:p>
        </w:tc>
        <w:tc>
          <w:tcPr/>
          <w:p>
            <w:pPr>
              <w:pStyle w:val="Compact"/>
              <w:jc w:val="left"/>
            </w:pPr>
            <w:r>
              <w:t xml:space="preserve">567,600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5,292,200 JPY</w:t>
            </w:r>
          </w:p>
        </w:tc>
      </w:tr>
      <w:tr>
        <w:tc>
          <w:tcPr/>
          <w:p>
            <w:pPr>
              <w:pStyle w:val="Compact"/>
              <w:jc w:val="left"/>
            </w:pPr>
            <w:r>
              <w:t xml:space="preserve">Consumption Tax (10% — Japan National Rate)</w:t>
            </w:r>
          </w:p>
        </w:tc>
        <w:tc>
          <w:tcPr/>
          <w:p>
            <w:pPr>
              <w:pStyle w:val="Compact"/>
              <w:jc w:val="left"/>
            </w:pPr>
            <w:r>
              <w:t xml:space="preserve">529,220 JPY</w:t>
            </w:r>
          </w:p>
        </w:tc>
      </w:tr>
      <w:tr>
        <w:tc>
          <w:tcPr/>
          <w:p>
            <w:pPr>
              <w:pStyle w:val="Compact"/>
              <w:jc w:val="left"/>
            </w:pPr>
            <w:r>
              <w:t xml:space="preserve">Osaka Prefecture Local Education Surcharge (2%)</w:t>
            </w:r>
          </w:p>
        </w:tc>
        <w:tc>
          <w:tcPr/>
          <w:p>
            <w:pPr>
              <w:pStyle w:val="Compact"/>
              <w:jc w:val="left"/>
            </w:pPr>
            <w:r>
              <w:t xml:space="preserve">105,844 JPY</w:t>
            </w:r>
          </w:p>
        </w:tc>
      </w:tr>
      <w:tr>
        <w:tc>
          <w:tcPr/>
          <w:p>
            <w:pPr>
              <w:pStyle w:val="Compact"/>
              <w:jc w:val="left"/>
            </w:pPr>
            <w:r>
              <w:t xml:space="preserve">Expedited Processing Fee (Japan Osaka Priority Tier)</w:t>
            </w:r>
          </w:p>
        </w:tc>
        <w:tc>
          <w:tcPr/>
          <w:p>
            <w:pPr>
              <w:pStyle w:val="Compact"/>
              <w:jc w:val="left"/>
            </w:pPr>
            <w:r>
              <w:t xml:space="preserve">25,000 JPY</w:t>
            </w:r>
          </w:p>
        </w:tc>
      </w:tr>
      <w:tr>
        <w:tc>
          <w:tcPr/>
          <w:p>
            <w:pPr>
              <w:pStyle w:val="Compact"/>
              <w:jc w:val="left"/>
            </w:pPr>
            <w:r>
              <w:t xml:space="preserve">TOTAL AMOUNT DUE</w:t>
            </w:r>
          </w:p>
        </w:tc>
        <w:tc>
          <w:tcPr/>
          <w:p>
            <w:pPr>
              <w:pStyle w:val="Compact"/>
              <w:jc w:val="left"/>
            </w:pPr>
            <w:r>
              <w:t xml:space="preserve">5,952,264 JPY</w:t>
            </w:r>
          </w:p>
        </w:tc>
      </w:tr>
    </w:tbl>
    <w:bookmarkStart w:id="23" w:name="X2c965a4a64d9e726cfc4ac5971b4c70e7a56389"/>
    <w:p>
      <w:pPr>
        <w:pStyle w:val="Heading4"/>
      </w:pPr>
      <w:r>
        <w:t xml:space="preserve">Payment Instructions — Japan Osaka Banking Standards</w:t>
      </w:r>
    </w:p>
    <w:p>
      <w:pPr>
        <w:pStyle w:val="FirstParagraph"/>
      </w:pPr>
      <w:r>
        <w:rPr>
          <w:bCs/>
          <w:b/>
        </w:rPr>
        <w:t xml:space="preserve">Bank:</w:t>
      </w:r>
      <w:r>
        <w:t xml:space="preserve"> </w:t>
      </w:r>
      <w:r>
        <w:t xml:space="preserve">Sumitomo Mitsui Banking Corporation, Umeda Branch, Osaka</w:t>
      </w:r>
    </w:p>
    <w:p>
      <w:pPr>
        <w:pStyle w:val="BodyText"/>
      </w:pPr>
      <w:r>
        <w:rPr>
          <w:bCs/>
          <w:b/>
        </w:rPr>
        <w:t xml:space="preserve">Account Name:</w:t>
      </w:r>
      <w:r>
        <w:t xml:space="preserve"> </w:t>
      </w:r>
      <w:r>
        <w:t xml:space="preserve">Osaka Education Administration Services Co., Ltd.</w:t>
      </w:r>
    </w:p>
    <w:p>
      <w:pPr>
        <w:pStyle w:val="BodyText"/>
      </w:pPr>
      <w:r>
        <w:rPr>
          <w:bCs/>
          <w:b/>
        </w:rPr>
        <w:t xml:space="preserve">Account Number:</w:t>
      </w:r>
      <w:r>
        <w:t xml:space="preserve"> </w:t>
      </w:r>
      <w:r>
        <w:t xml:space="preserve">123-4-567890 (Ordinary Deposit)</w:t>
      </w:r>
    </w:p>
    <w:p>
      <w:pPr>
        <w:pStyle w:val="BodyText"/>
      </w:pPr>
      <w:r>
        <w:rPr>
          <w:bCs/>
          <w:b/>
        </w:rPr>
        <w:t xml:space="preserve">SWIFT Code:</w:t>
      </w:r>
      <w:r>
        <w:t xml:space="preserve"> </w:t>
      </w:r>
      <w:r>
        <w:t xml:space="preserve">SMBCJPJT</w:t>
      </w:r>
    </w:p>
    <w:p>
      <w:pPr>
        <w:pStyle w:val="BodyText"/>
      </w:pPr>
      <w:r>
        <w:rPr>
          <w:bCs/>
          <w:b/>
        </w:rPr>
        <w:t xml:space="preserve">Reference:</w:t>
      </w:r>
      <w:r>
        <w:t xml:space="preserve"> </w:t>
      </w:r>
      <w:r>
        <w:t xml:space="preserve">Please cite Invoice Number OSA-EDU-2025-04187 on all remittances.</w:t>
      </w:r>
    </w:p>
    <w:p>
      <w:pPr>
        <w:pStyle w:val="BodyText"/>
      </w:pPr>
      <w:r>
        <w:rPr>
          <w:bCs/>
          <w:b/>
        </w:rPr>
        <w:t xml:space="preserve">Accepted Methods:</w:t>
      </w:r>
      <w:r>
        <w:t xml:space="preserve"> </w:t>
      </w:r>
      <w:r>
        <w:t xml:space="preserve">Bank transfer (domestic Japan), credit card (Visa, Mastercard, JCB), or certified check payable in Japan Osaka.</w:t>
      </w:r>
    </w:p>
    <w:p>
      <w:pPr>
        <w:pStyle w:val="BodyText"/>
      </w:pPr>
      <w:r>
        <w:rPr>
          <w:bCs/>
          <w:b/>
        </w:rPr>
        <w:t xml:space="preserve">Payment Deadline:</w:t>
      </w:r>
      <w:r>
        <w:t xml:space="preserve"> </w:t>
      </w:r>
      <w:r>
        <w:t xml:space="preserve">This Invoice must be settled in full by July 15, 2025. Late payments will incur a 1.5% monthly interest charge as stipulated under Japan Osaka commercial transaction regulations.</w:t>
      </w:r>
    </w:p>
    <w:bookmarkEnd w:id="23"/>
    <w:bookmarkStart w:id="24" w:name="important-notes-regarding-this-invoice"/>
    <w:p>
      <w:pPr>
        <w:pStyle w:val="Heading4"/>
      </w:pPr>
      <w:r>
        <w:t xml:space="preserve">Important Notes Regarding This Invoice</w:t>
      </w:r>
    </w:p>
    <w:p>
      <w:pPr>
        <w:numPr>
          <w:ilvl w:val="0"/>
          <w:numId w:val="1001"/>
        </w:numPr>
        <w:pStyle w:val="Compact"/>
      </w:pPr>
      <w:r>
        <w:t xml:space="preserve">This Invoice documents all professional services rendered by the Education Administrator during the Q2 2025 period for the Japan Osaka metropolitan education district. All hours and deliverables have been verified by the Osaka Metropolitan Board of Education's internal audit division.</w:t>
      </w:r>
    </w:p>
    <w:p>
      <w:pPr>
        <w:numPr>
          <w:ilvl w:val="0"/>
          <w:numId w:val="1001"/>
        </w:numPr>
        <w:pStyle w:val="Compact"/>
      </w:pPr>
      <w:r>
        <w:t xml:space="preserve">The Education Administrator services listed herein are performed in strict accordance with the Japan Education and Research Promotion Act and Osaka Prefecture's local administrative bylaws governing educational governance.</w:t>
      </w:r>
    </w:p>
    <w:p>
      <w:pPr>
        <w:numPr>
          <w:ilvl w:val="0"/>
          <w:numId w:val="1001"/>
        </w:numPr>
        <w:pStyle w:val="Compact"/>
      </w:pPr>
      <w:r>
        <w:t xml:space="preserve">All rates quoted on this Invoice are exclusive of applicable Japan national consumption tax and Osaka Prefecture local surcharges, which are itemized separately in the totals section.</w:t>
      </w:r>
    </w:p>
    <w:p>
      <w:pPr>
        <w:numPr>
          <w:ilvl w:val="0"/>
          <w:numId w:val="1001"/>
        </w:numPr>
        <w:pStyle w:val="Compact"/>
      </w:pPr>
      <w:r>
        <w:t xml:space="preserve">Should any discrepancy be identified in the line items of this Invoice, the Japan Osaka billing office must be contacted within fourteen (14) business days of the Invoice date. Disputes beyond this window will be considered accepted under Japan Osaka commercial practice.</w:t>
      </w:r>
    </w:p>
    <w:p>
      <w:pPr>
        <w:numPr>
          <w:ilvl w:val="0"/>
          <w:numId w:val="1001"/>
        </w:numPr>
        <w:pStyle w:val="Compact"/>
      </w:pPr>
      <w:r>
        <w:t xml:space="preserve">This Invoice is valid for a period of ninety (90) days from the date of issue. After this period, the Education Administrator services billing office reserves the right to reissue the document with updated tax calculations reflecting any changes in Japan Osaka fiscal policy.</w:t>
      </w:r>
    </w:p>
    <w:p>
      <w:pPr>
        <w:numPr>
          <w:ilvl w:val="0"/>
          <w:numId w:val="1001"/>
        </w:numPr>
        <w:pStyle w:val="Compact"/>
      </w:pPr>
      <w:r>
        <w:t xml:space="preserve">A duplicate copy of this Invoice may be requested from the Japan Osaka administrative records department at no additional charge. The Education Administrator's service records supporting each line item are available for inspection upon written request.</w:t>
      </w:r>
    </w:p>
    <w:bookmarkEnd w:id="24"/>
    <w:p>
      <w:pPr>
        <w:pStyle w:val="FirstParagraph"/>
      </w:pPr>
      <w:r>
        <w:rPr>
          <w:bCs/>
          <w:b/>
        </w:rPr>
        <w:t xml:space="preserve">Osaka Education Administration Services Co., Ltd.</w:t>
      </w:r>
      <w:r>
        <w:t xml:space="preserve"> </w:t>
      </w:r>
      <w:r>
        <w:t xml:space="preserve">— Providing dedicated Education Administrator expertise to the Japan Osaka region since 2012.</w:t>
      </w:r>
    </w:p>
    <w:p>
      <w:pPr>
        <w:pStyle w:val="BodyText"/>
      </w:pPr>
      <w:r>
        <w:t xml:space="preserve">This Invoice was generated electronically and is valid without a physical signature in accordance with Japan's Electronic Documents and Electronic Signatures Act (Act No. 151 of 2000).</w:t>
      </w:r>
    </w:p>
    <w:p>
      <w:pPr>
        <w:pStyle w:val="BodyText"/>
      </w:pPr>
      <w:r>
        <w:t xml:space="preserve">For inquiries regarding this Invoice, contact the Japan Osaka billing department at +81-6-6371-8842 or billing@osaka-edu-admin.jp. Office hours: Monday through Friday, 9:00 AM – 5:30 PM Japan Standard Time (JST).</w:t>
      </w:r>
    </w:p>
    <w:p>
      <w:pPr>
        <w:pStyle w:val="BodyText"/>
      </w:pPr>
      <w:r>
        <w:t xml:space="preserve">© 2025 Osaka Education Administration Services Co., Ltd. All rights reserved. Invoice OSA-EDU-2025-04187 — Education Administrator Services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Japan Osaka</dc:title>
  <dc:creator/>
  <dc:language>en</dc:language>
  <cp:keywords/>
  <dcterms:created xsi:type="dcterms:W3CDTF">2026-10-10T05:48:21Z</dcterms:created>
  <dcterms:modified xsi:type="dcterms:W3CDTF">2026-10-10T05:48:21Z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