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eduadmin-professional-services-sdn.-bhd."/>
    <w:p>
      <w:pPr>
        <w:pStyle w:val="Heading1"/>
      </w:pPr>
      <w:r>
        <w:t xml:space="preserve">EduAdmin Professional Services Sdn. Bhd.</w:t>
      </w:r>
    </w:p>
    <w:p>
      <w:pPr>
        <w:pStyle w:val="FirstParagraph"/>
      </w:pPr>
      <w:r>
        <w:t xml:space="preserve">Level 12, Menara Education Hub</w:t>
      </w:r>
    </w:p>
    <w:p>
      <w:pPr>
        <w:pStyle w:val="BodyText"/>
      </w:pPr>
      <w:r>
        <w:t xml:space="preserve">Jalan Sultan Ismail, 50250 Malaysia Kuala Lumpur</w:t>
      </w:r>
    </w:p>
    <w:p>
      <w:pPr>
        <w:pStyle w:val="BodyText"/>
      </w:pPr>
      <w:r>
        <w:t xml:space="preserve">Tel: +603-2145-6789 | Email: billing@eduadmin.com.my</w:t>
      </w:r>
    </w:p>
    <w:p>
      <w:pPr>
        <w:pStyle w:val="BodyText"/>
      </w:pPr>
      <w:r>
        <w:t xml:space="preserve">Company Reg. No: 201901045678 (K)</w:t>
      </w:r>
    </w:p>
    <w:p>
      <w:pPr>
        <w:pStyle w:val="BodyText"/>
      </w:pPr>
      <w:r>
        <w:t xml:space="preserve">FRP No: 001234567890</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INV-2025-KL-00847</w:t>
      </w:r>
    </w:p>
    <w:p>
      <w:pPr>
        <w:pStyle w:val="BodyText"/>
      </w:pPr>
      <w:r>
        <w:t xml:space="preserve">Date Issued: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Client:</w:t>
      </w:r>
      <w:r>
        <w:t xml:space="preserve"> </w:t>
      </w:r>
      <w:r>
        <w:t xml:space="preserve">International Academy of Excellence Sdn. Bhd.</w:t>
      </w:r>
    </w:p>
    <w:p>
      <w:pPr>
        <w:pStyle w:val="BodyText"/>
      </w:pPr>
      <w:r>
        <w:t xml:space="preserve">Address:</w:t>
      </w:r>
      <w:r>
        <w:t xml:space="preserve"> </w:t>
      </w:r>
      <w:r>
        <w:t xml:space="preserve">88, Jalan Ampang, 50450 Malaysia Kuala Lumpur</w:t>
      </w:r>
    </w:p>
    <w:p>
      <w:pPr>
        <w:pStyle w:val="BodyText"/>
      </w:pPr>
      <w:r>
        <w:t xml:space="preserve">Attn:</w:t>
      </w:r>
      <w:r>
        <w:t xml:space="preserve"> </w:t>
      </w:r>
      <w:r>
        <w:t xml:space="preserve">Mr. Tan Wei Ming, Director of Operations</w:t>
      </w:r>
    </w:p>
    <w:p>
      <w:pPr>
        <w:pStyle w:val="BodyText"/>
      </w:pPr>
      <w:r>
        <w:t xml:space="preserve">Email:</w:t>
      </w:r>
      <w:r>
        <w:t xml:space="preserve"> </w:t>
      </w:r>
      <w:r>
        <w:t xml:space="preserve">operations@iaex.edu.my</w:t>
      </w:r>
    </w:p>
    <w:p>
      <w:pPr>
        <w:pStyle w:val="BodyText"/>
      </w:pPr>
      <w:r>
        <w:t xml:space="preserve">Client Ref:</w:t>
      </w:r>
      <w:r>
        <w:t xml:space="preserve"> </w:t>
      </w:r>
      <w:r>
        <w:t xml:space="preserve">IAEX-EDU-2025-031</w:t>
      </w:r>
    </w:p>
    <w:bookmarkEnd w:id="22"/>
    <w:bookmarkStart w:id="23" w:name="service-details"/>
    <w:p>
      <w:pPr>
        <w:pStyle w:val="Heading3"/>
      </w:pPr>
      <w:r>
        <w:t xml:space="preserve">Service Details</w:t>
      </w:r>
    </w:p>
    <w:p>
      <w:pPr>
        <w:pStyle w:val="FirstParagraph"/>
      </w:pPr>
      <w:r>
        <w:t xml:space="preserve">Service Category:</w:t>
      </w:r>
      <w:r>
        <w:t xml:space="preserve"> </w:t>
      </w:r>
      <w:r>
        <w:t xml:space="preserve">Education Administrator Consulting</w:t>
      </w:r>
    </w:p>
    <w:p>
      <w:pPr>
        <w:pStyle w:val="BodyText"/>
      </w:pPr>
      <w:r>
        <w:t xml:space="preserve">Project:</w:t>
      </w:r>
      <w:r>
        <w:t xml:space="preserve"> </w:t>
      </w:r>
      <w:r>
        <w:t xml:space="preserve">Academic Administration Overhaul</w:t>
      </w:r>
    </w:p>
    <w:p>
      <w:pPr>
        <w:pStyle w:val="BodyText"/>
      </w:pPr>
      <w:r>
        <w:t xml:space="preserve">Location:</w:t>
      </w:r>
      <w:r>
        <w:t xml:space="preserve"> </w:t>
      </w:r>
      <w:r>
        <w:t xml:space="preserve">Malaysia Kuala Lumpur</w:t>
      </w:r>
    </w:p>
    <w:p>
      <w:pPr>
        <w:pStyle w:val="BodyText"/>
      </w:pPr>
      <w:r>
        <w:t xml:space="preserve">Period:</w:t>
      </w:r>
      <w:r>
        <w:t xml:space="preserve"> </w:t>
      </w:r>
      <w:r>
        <w:t xml:space="preserve">1 January 2025 – 31 May 2025</w:t>
      </w:r>
    </w:p>
    <w:p>
      <w:pPr>
        <w:pStyle w:val="BodyText"/>
      </w:pPr>
      <w:r>
        <w:t xml:space="preserve">Currency:</w:t>
      </w:r>
      <w:r>
        <w:t xml:space="preserve"> </w:t>
      </w:r>
      <w:r>
        <w:t xml:space="preserve">Malaysian Ringgit (MYR / RM)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Rate (RM)</w:t>
            </w:r>
          </w:p>
        </w:tc>
        <w:tc>
          <w:tcPr/>
          <w:p>
            <w:pPr>
              <w:pStyle w:val="Compact"/>
              <w:jc w:val="left"/>
            </w:pPr>
            <w:r>
              <w:t xml:space="preserve">Qty / Hours</w:t>
            </w:r>
          </w:p>
        </w:tc>
        <w:tc>
          <w:tcPr/>
          <w:p>
            <w:pPr>
              <w:pStyle w:val="Compact"/>
              <w:jc w:val="left"/>
            </w:pPr>
            <w:r>
              <w:t xml:space="preserve">Amount (RM)</w:t>
            </w:r>
          </w:p>
        </w:tc>
        <w:tc>
          <w:tcPr/>
          <w:p>
            <w:pPr>
              <w:pStyle w:val="Compact"/>
              <w:jc w:val="left"/>
            </w:pPr>
            <w:r>
              <w:t xml:space="preserve">SST (6%)</w:t>
            </w:r>
          </w:p>
        </w:tc>
      </w:tr>
      <w:tr>
        <w:tc>
          <w:tcPr/>
          <w:p>
            <w:pPr>
              <w:pStyle w:val="Compact"/>
              <w:jc w:val="left"/>
            </w:pPr>
            <w:r>
              <w:t xml:space="preserve">1</w:t>
            </w:r>
          </w:p>
        </w:tc>
        <w:tc>
          <w:tcPr/>
          <w:p>
            <w:pPr>
              <w:pStyle w:val="Compact"/>
              <w:jc w:val="left"/>
            </w:pPr>
            <w:r>
              <w:rPr>
                <w:bCs/>
                <w:b/>
              </w:rPr>
              <w:t xml:space="preserve">Education Administrator – Strategic Planning &amp; Curriculum Oversight</w:t>
            </w:r>
            <w:r>
              <w:t xml:space="preserve"> </w:t>
            </w:r>
            <w:r>
              <w:t xml:space="preserve">Comprehensive review and restructuring of the academic curriculum framework across all three campuses in Malaysia Kuala Lumpur. Includes alignment with the Malaysian Education Blueprint 2013–2025, development of standardized assessment protocols, and implementation of competency-based learning pathways for primary and secondary divisions.</w:t>
            </w:r>
          </w:p>
        </w:tc>
        <w:tc>
          <w:tcPr/>
          <w:p>
            <w:pPr>
              <w:pStyle w:val="Compact"/>
              <w:jc w:val="left"/>
            </w:pPr>
            <w:r>
              <w:t xml:space="preserve">350.00</w:t>
            </w:r>
          </w:p>
        </w:tc>
        <w:tc>
          <w:tcPr/>
          <w:p>
            <w:pPr>
              <w:pStyle w:val="Compact"/>
              <w:jc w:val="left"/>
            </w:pPr>
            <w:r>
              <w:t xml:space="preserve">120 hrs</w:t>
            </w:r>
          </w:p>
        </w:tc>
        <w:tc>
          <w:tcPr/>
          <w:p>
            <w:pPr>
              <w:pStyle w:val="Compact"/>
              <w:jc w:val="left"/>
            </w:pPr>
            <w:r>
              <w:t xml:space="preserve">42,000.00</w:t>
            </w:r>
          </w:p>
        </w:tc>
        <w:tc>
          <w:tcPr/>
          <w:p>
            <w:pPr>
              <w:pStyle w:val="Compact"/>
              <w:jc w:val="left"/>
            </w:pPr>
            <w:r>
              <w:t xml:space="preserve">2,520.00</w:t>
            </w:r>
          </w:p>
        </w:tc>
      </w:tr>
      <w:tr>
        <w:tc>
          <w:tcPr/>
          <w:p>
            <w:pPr>
              <w:pStyle w:val="Compact"/>
              <w:jc w:val="left"/>
            </w:pPr>
            <w:r>
              <w:t xml:space="preserve">2</w:t>
            </w:r>
          </w:p>
        </w:tc>
        <w:tc>
          <w:tcPr/>
          <w:p>
            <w:pPr>
              <w:pStyle w:val="Compact"/>
              <w:jc w:val="left"/>
            </w:pPr>
            <w:r>
              <w:rPr>
                <w:bCs/>
                <w:b/>
              </w:rPr>
              <w:t xml:space="preserve">Education Administrator – Staff Recruitment &amp; Training Coordination</w:t>
            </w:r>
            <w:r>
              <w:t xml:space="preserve"> </w:t>
            </w:r>
            <w:r>
              <w:t xml:space="preserve">End-to-end management of the recruitment cycle for 45 new teaching and non-teaching staff members. Includes job description development, interview panel coordination, onboarding programme design, and delivery of two full-day professional development workshops conducted at the main campus in Malaysia Kuala Lumpur.</w:t>
            </w:r>
          </w:p>
        </w:tc>
        <w:tc>
          <w:tcPr/>
          <w:p>
            <w:pPr>
              <w:pStyle w:val="Compact"/>
              <w:jc w:val="left"/>
            </w:pPr>
            <w:r>
              <w:t xml:space="preserve">300.00</w:t>
            </w:r>
          </w:p>
        </w:tc>
        <w:tc>
          <w:tcPr/>
          <w:p>
            <w:pPr>
              <w:pStyle w:val="Compact"/>
              <w:jc w:val="left"/>
            </w:pPr>
            <w:r>
              <w:t xml:space="preserve">80 hrs</w:t>
            </w:r>
          </w:p>
        </w:tc>
        <w:tc>
          <w:tcPr/>
          <w:p>
            <w:pPr>
              <w:pStyle w:val="Compact"/>
              <w:jc w:val="left"/>
            </w:pPr>
            <w:r>
              <w:t xml:space="preserve">24,000.00</w:t>
            </w:r>
          </w:p>
        </w:tc>
        <w:tc>
          <w:tcPr/>
          <w:p>
            <w:pPr>
              <w:pStyle w:val="Compact"/>
              <w:jc w:val="left"/>
            </w:pPr>
            <w:r>
              <w:t xml:space="preserve">1,440.00</w:t>
            </w:r>
          </w:p>
        </w:tc>
      </w:tr>
      <w:tr>
        <w:tc>
          <w:tcPr/>
          <w:p>
            <w:pPr>
              <w:pStyle w:val="Compact"/>
              <w:jc w:val="left"/>
            </w:pPr>
            <w:r>
              <w:t xml:space="preserve">3</w:t>
            </w:r>
          </w:p>
        </w:tc>
        <w:tc>
          <w:tcPr/>
          <w:p>
            <w:pPr>
              <w:pStyle w:val="Compact"/>
              <w:jc w:val="left"/>
            </w:pPr>
            <w:r>
              <w:rPr>
                <w:bCs/>
                <w:b/>
              </w:rPr>
              <w:t xml:space="preserve">Education Administrator – Financial &amp; Budget Administration</w:t>
            </w:r>
            <w:r>
              <w:t xml:space="preserve"> </w:t>
            </w:r>
            <w:r>
              <w:t xml:space="preserve">Preparation and management of the annual academic budget for the 2025/2026 school year. Includes vendor negotiations for educational materials, allocation of funds across departments, monthly financial reporting to the Board of Directors, and compliance auditing in accordance with Malaysian Ministry of Education guidelines applicable to private institutions in Malaysia Kuala Lumpur.</w:t>
            </w:r>
          </w:p>
        </w:tc>
        <w:tc>
          <w:tcPr/>
          <w:p>
            <w:pPr>
              <w:pStyle w:val="Compact"/>
              <w:jc w:val="left"/>
            </w:pPr>
            <w:r>
              <w:t xml:space="preserve">320.00</w:t>
            </w:r>
          </w:p>
        </w:tc>
        <w:tc>
          <w:tcPr/>
          <w:p>
            <w:pPr>
              <w:pStyle w:val="Compact"/>
              <w:jc w:val="left"/>
            </w:pPr>
            <w:r>
              <w:t xml:space="preserve">60 hrs</w:t>
            </w:r>
          </w:p>
        </w:tc>
        <w:tc>
          <w:tcPr/>
          <w:p>
            <w:pPr>
              <w:pStyle w:val="Compact"/>
              <w:jc w:val="left"/>
            </w:pPr>
            <w:r>
              <w:t xml:space="preserve">19,200.00</w:t>
            </w:r>
          </w:p>
        </w:tc>
        <w:tc>
          <w:tcPr/>
          <w:p>
            <w:pPr>
              <w:pStyle w:val="Compact"/>
              <w:jc w:val="left"/>
            </w:pPr>
            <w:r>
              <w:t xml:space="preserve">1,152.00</w:t>
            </w:r>
          </w:p>
        </w:tc>
      </w:tr>
      <w:tr>
        <w:tc>
          <w:tcPr/>
          <w:p>
            <w:pPr>
              <w:pStyle w:val="Compact"/>
              <w:jc w:val="left"/>
            </w:pPr>
            <w:r>
              <w:t xml:space="preserve">4</w:t>
            </w:r>
          </w:p>
        </w:tc>
        <w:tc>
          <w:tcPr/>
          <w:p>
            <w:pPr>
              <w:pStyle w:val="Compact"/>
              <w:jc w:val="left"/>
            </w:pPr>
            <w:r>
              <w:rPr>
                <w:bCs/>
                <w:b/>
              </w:rPr>
              <w:t xml:space="preserve">Education Administrator – Student Records &amp; Data Management System Implementation</w:t>
            </w:r>
            <w:r>
              <w:t xml:space="preserve"> </w:t>
            </w:r>
            <w:r>
              <w:t xml:space="preserve">Design, migration, and deployment of a centralized student information management system. Covers data migration from legacy files, staff training sessions (6 sessions), security protocol establishment compliant with the Personal Data Protection Act 2010 (PDPA), and ongoing technical support for the first 90 days post-implementation at all Malaysia Kuala Lumpur locations.</w:t>
            </w:r>
          </w:p>
        </w:tc>
        <w:tc>
          <w:tcPr/>
          <w:p>
            <w:pPr>
              <w:pStyle w:val="Compact"/>
              <w:jc w:val="left"/>
            </w:pPr>
            <w:r>
              <w:t xml:space="preserve">280.00</w:t>
            </w:r>
          </w:p>
        </w:tc>
        <w:tc>
          <w:tcPr/>
          <w:p>
            <w:pPr>
              <w:pStyle w:val="Compact"/>
              <w:jc w:val="left"/>
            </w:pPr>
            <w:r>
              <w:t xml:space="preserve">95 hrs</w:t>
            </w:r>
          </w:p>
        </w:tc>
        <w:tc>
          <w:tcPr/>
          <w:p>
            <w:pPr>
              <w:pStyle w:val="Compact"/>
              <w:jc w:val="left"/>
            </w:pPr>
            <w:r>
              <w:t xml:space="preserve">26,600.00</w:t>
            </w:r>
          </w:p>
        </w:tc>
        <w:tc>
          <w:tcPr/>
          <w:p>
            <w:pPr>
              <w:pStyle w:val="Compact"/>
              <w:jc w:val="left"/>
            </w:pPr>
            <w:r>
              <w:t xml:space="preserve">1,596.00</w:t>
            </w:r>
          </w:p>
        </w:tc>
      </w:tr>
      <w:tr>
        <w:tc>
          <w:tcPr/>
          <w:p>
            <w:pPr>
              <w:pStyle w:val="Compact"/>
              <w:jc w:val="left"/>
            </w:pPr>
            <w:r>
              <w:t xml:space="preserve">5</w:t>
            </w:r>
          </w:p>
        </w:tc>
        <w:tc>
          <w:tcPr/>
          <w:p>
            <w:pPr>
              <w:pStyle w:val="Compact"/>
              <w:jc w:val="left"/>
            </w:pPr>
            <w:r>
              <w:rPr>
                <w:bCs/>
                <w:b/>
              </w:rPr>
              <w:t xml:space="preserve">Education Administrator – Regulatory Compliance &amp; Accreditation Support</w:t>
            </w:r>
            <w:r>
              <w:t xml:space="preserve"> </w:t>
            </w:r>
            <w:r>
              <w:t xml:space="preserve">Full support for the school's re-accreditation process with the Malaysian Qualifications Agency (MQA) and the Education Department of Malaysia. Includes documentation preparation, site visit coordination, gap analysis reports, and follow-up corrective action plans. All compliance activities conducted in Malaysia Kuala Lumpur in accordance with national education standards.</w:t>
            </w:r>
          </w:p>
        </w:tc>
        <w:tc>
          <w:tcPr/>
          <w:p>
            <w:pPr>
              <w:pStyle w:val="Compact"/>
              <w:jc w:val="left"/>
            </w:pPr>
            <w:r>
              <w:t xml:space="preserve">350.00</w:t>
            </w:r>
          </w:p>
        </w:tc>
        <w:tc>
          <w:tcPr/>
          <w:p>
            <w:pPr>
              <w:pStyle w:val="Compact"/>
              <w:jc w:val="left"/>
            </w:pPr>
            <w:r>
              <w:t xml:space="preserve">40 hrs</w:t>
            </w:r>
          </w:p>
        </w:tc>
        <w:tc>
          <w:tcPr/>
          <w:p>
            <w:pPr>
              <w:pStyle w:val="Compact"/>
              <w:jc w:val="left"/>
            </w:pPr>
            <w:r>
              <w:t xml:space="preserve">14,000.00</w:t>
            </w:r>
          </w:p>
        </w:tc>
        <w:tc>
          <w:tcPr/>
          <w:p>
            <w:pPr>
              <w:pStyle w:val="Compact"/>
              <w:jc w:val="left"/>
            </w:pPr>
            <w:r>
              <w:t xml:space="preserve">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(RM)</w:t>
            </w:r>
          </w:p>
        </w:tc>
        <w:tc>
          <w:tcPr/>
          <w:p>
            <w:pPr>
              <w:pStyle w:val="Compact"/>
              <w:jc w:val="left"/>
            </w:pPr>
            <w:r>
              <w:t xml:space="preserve">125,800.00</w:t>
            </w:r>
          </w:p>
        </w:tc>
      </w:tr>
      <w:tr>
        <w:tc>
          <w:tcPr/>
          <w:p>
            <w:pPr>
              <w:pStyle w:val="Compact"/>
              <w:jc w:val="left"/>
            </w:pPr>
            <w:r>
              <w:t xml:space="preserve">Sales &amp; Service Tax – SST (6%)</w:t>
            </w:r>
          </w:p>
        </w:tc>
        <w:tc>
          <w:tcPr/>
          <w:p>
            <w:pPr>
              <w:pStyle w:val="Compact"/>
              <w:jc w:val="left"/>
            </w:pPr>
            <w:r>
              <w:t xml:space="preserve">7,548.00</w:t>
            </w:r>
          </w:p>
        </w:tc>
      </w:tr>
      <w:tr>
        <w:tc>
          <w:tcPr/>
          <w:p>
            <w:pPr>
              <w:pStyle w:val="Compact"/>
              <w:jc w:val="left"/>
            </w:pPr>
            <w:r>
              <w:t xml:space="preserve">Discount – Early Payment (2%)</w:t>
            </w:r>
          </w:p>
        </w:tc>
        <w:tc>
          <w:tcPr/>
          <w:p>
            <w:pPr>
              <w:pStyle w:val="Compact"/>
              <w:jc w:val="left"/>
            </w:pPr>
            <w:r>
              <w:t xml:space="preserve">(2,516.00)</w:t>
            </w:r>
          </w:p>
        </w:tc>
      </w:tr>
      <w:tr>
        <w:tc>
          <w:tcPr/>
          <w:p>
            <w:pPr>
              <w:pStyle w:val="Compact"/>
              <w:jc w:val="left"/>
            </w:pPr>
            <w:r>
              <w:t xml:space="preserve">Grand Total Due (RM)</w:t>
            </w:r>
          </w:p>
        </w:tc>
        <w:tc>
          <w:tcPr/>
          <w:p>
            <w:pPr>
              <w:pStyle w:val="Compact"/>
              <w:jc w:val="left"/>
            </w:pPr>
            <w:r>
              <w:t xml:space="preserve">130,832.00</w:t>
            </w:r>
          </w:p>
        </w:tc>
      </w:tr>
    </w:tbl>
    <w:bookmarkStart w:id="24" w:name="payment-terms-conditions"/>
    <w:p>
      <w:pPr>
        <w:pStyle w:val="Heading3"/>
      </w:pPr>
      <w:r>
        <w:t xml:space="preserve">Payment Terms &amp; Conditions</w:t>
      </w:r>
    </w:p>
    <w:p>
      <w:pPr>
        <w:pStyle w:val="FirstParagraph"/>
      </w:pPr>
      <w:r>
        <w:t xml:space="preserve">This Invoice is issued by EduAdmin Professional Services Sdn. Bhd., a registered company in Malaysia Kuala Lumpur, for professional services rendered by a certified Education Administrator to the client named above. The total amount of RM 130,832.00 (One Hundred Thirty Thousand Eight Hundred Thirty-Two Ringgit Malaysia) is due within thirty (30) calendar days from the date of issue, i.e., on or before 15 July 2025.</w:t>
      </w:r>
    </w:p>
    <w:p>
      <w:pPr>
        <w:numPr>
          <w:ilvl w:val="0"/>
          <w:numId w:val="1001"/>
        </w:numPr>
        <w:pStyle w:val="Compact"/>
      </w:pPr>
      <w:r>
        <w:t xml:space="preserve">Payment shall be made via bank transfer to: Maybank Berhad, Account Name: EduAdmin Professional Services Sdn. Bhd., Account No: 5123-4567-8901, Branch: Jalan Sultan Ismail, Malaysia Kuala Lumpur.</w:t>
      </w:r>
    </w:p>
    <w:p>
      <w:pPr>
        <w:numPr>
          <w:ilvl w:val="0"/>
          <w:numId w:val="1001"/>
        </w:numPr>
        <w:pStyle w:val="Compact"/>
      </w:pPr>
      <w:r>
        <w:t xml:space="preserve">A late payment penalty of 1.5% per month (or part thereof) shall be applied to any outstanding balance after the due date, in accordance with the Service Level Agreement signed on 1 January 2025.</w:t>
      </w:r>
    </w:p>
    <w:p>
      <w:pPr>
        <w:numPr>
          <w:ilvl w:val="0"/>
          <w:numId w:val="1001"/>
        </w:numPr>
        <w:pStyle w:val="Compact"/>
      </w:pPr>
      <w:r>
        <w:t xml:space="preserve">This Invoice is subject to the terms and conditions outlined in the Master Service Agreement (MSA) between both parties. All disputes shall be resolved under the jurisdiction of the courts of Malaysia Kuala Lumpur.</w:t>
      </w:r>
    </w:p>
    <w:p>
      <w:pPr>
        <w:numPr>
          <w:ilvl w:val="0"/>
          <w:numId w:val="1001"/>
        </w:numPr>
        <w:pStyle w:val="Compact"/>
      </w:pPr>
      <w:r>
        <w:t xml:space="preserve">The Education Administrator services described herein are non-refundable once commenced. Any scope changes must be approved in writing by both parties prior to execution.</w:t>
      </w:r>
    </w:p>
    <w:p>
      <w:pPr>
        <w:numPr>
          <w:ilvl w:val="0"/>
          <w:numId w:val="1001"/>
        </w:numPr>
        <w:pStyle w:val="Compact"/>
      </w:pPr>
      <w:r>
        <w:t xml:space="preserve">Sales and Service Tax (SST) has been applied at the prevailing rate of 6% as mandated by the Royal Malaysian Customs Department for professional and consulting services rendered in Malaysia Kuala Lumpur.</w:t>
      </w:r>
    </w:p>
    <w:p>
      <w:pPr>
        <w:numPr>
          <w:ilvl w:val="0"/>
          <w:numId w:val="1001"/>
        </w:numPr>
        <w:pStyle w:val="Compact"/>
      </w:pPr>
      <w:r>
        <w:t xml:space="preserve">Please quote the Invoice number INV-2025-KL-00847 in all correspondence and remittance advices to facilitate prompt reconciliation of accounts.</w:t>
      </w:r>
    </w:p>
    <w:p>
      <w:pPr>
        <w:pStyle w:val="FirstParagraph"/>
      </w:pPr>
      <w:r>
        <w:rPr>
          <w:bCs/>
          <w:b/>
        </w:rPr>
        <w:t xml:space="preserve">Authorized Signatory:</w:t>
      </w:r>
    </w:p>
    <w:p>
      <w:pPr>
        <w:pStyle w:val="BodyText"/>
      </w:pPr>
      <w:r>
        <w:t xml:space="preserve">Dr. Aisyah binti Rahman</w:t>
      </w:r>
      <w:r>
        <w:br/>
      </w:r>
      <w:r>
        <w:t xml:space="preserve">Chief Education Administrator &amp; Managing Director</w:t>
      </w:r>
      <w:r>
        <w:br/>
      </w:r>
      <w:r>
        <w:t xml:space="preserve">EduAdmin Professional Services Sdn. Bhd.</w:t>
      </w:r>
      <w:r>
        <w:br/>
      </w:r>
      <w:r>
        <w:t xml:space="preserve">Malaysia Kuala Lumpur</w:t>
      </w:r>
    </w:p>
    <w:bookmarkEnd w:id="24"/>
    <w:p>
      <w:pPr>
        <w:pStyle w:val="BodyText"/>
      </w:pPr>
      <w:r>
        <w:rPr>
          <w:bCs/>
          <w:b/>
        </w:rPr>
        <w:t xml:space="preserve">EduAdmin Professional Services Sdn. Bhd.</w:t>
      </w:r>
      <w:r>
        <w:t xml:space="preserve"> </w:t>
      </w:r>
      <w:r>
        <w:t xml:space="preserve">| Level 12, Menara Education Hub, Jalan Sultan Ismail, 50250 Malaysia Kuala Lumpur</w:t>
      </w:r>
    </w:p>
    <w:p>
      <w:pPr>
        <w:pStyle w:val="BodyText"/>
      </w:pPr>
      <w:r>
        <w:t xml:space="preserve">Company Reg. No: 201901045678 (K) | FRP No: 001234567890 | SST Reg. No: 001234567890</w:t>
      </w:r>
    </w:p>
    <w:p>
      <w:pPr>
        <w:pStyle w:val="BodyText"/>
      </w:pPr>
      <w:r>
        <w:t xml:space="preserve">This is a computer-generated Invoice and does not require a physical signature. For queries, contact billing@eduadmin.com.my or call +603-2145-6789 (Mon–Fri, 9:00 AM – 5:30 PM MYT).</w:t>
      </w:r>
    </w:p>
    <w:p>
      <w:pPr>
        <w:pStyle w:val="BodyText"/>
      </w:pPr>
      <w:r>
        <w:t xml:space="preserve">Thank you for engaging our Education Administrator services in Malaysia Kuala Lumpur. We value your partnership and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Malaysia Kuala Lumpur</dc:title>
  <dc:creator/>
  <dc:language>en</dc:language>
  <cp:keywords/>
  <dcterms:created xsi:type="dcterms:W3CDTF">2026-10-10T07:33:01Z</dcterms:created>
  <dcterms:modified xsi:type="dcterms:W3CDTF">2026-10-10T07:33:01Z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