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Mexico</w:t>
      </w:r>
      <w:r>
        <w:t xml:space="preserve"> </w:t>
      </w:r>
      <w:r>
        <w:t xml:space="preserve">City,</w:t>
      </w:r>
      <w:r>
        <w:t xml:space="preserve"> </w:t>
      </w:r>
      <w:r>
        <w:t xml:space="preserve">Mexico</w:t>
      </w:r>
    </w:p>
    <w:bookmarkStart w:id="20" w:name="eduadmin-mexico-city"/>
    <w:p>
      <w:pPr>
        <w:pStyle w:val="Heading1"/>
      </w:pPr>
      <w:r>
        <w:t xml:space="preserve">EduAdmin Mexico City</w:t>
      </w:r>
    </w:p>
    <w:p>
      <w:pPr>
        <w:pStyle w:val="FirstParagraph"/>
      </w:pPr>
      <w:r>
        <w:t xml:space="preserve">Professional Education Administration Services</w:t>
      </w:r>
    </w:p>
    <w:p>
      <w:pPr>
        <w:pStyle w:val="BodyText"/>
      </w:pPr>
      <w:r>
        <w:t xml:space="preserve">Av. Paseo de la Reforma 222, Piso 14</w:t>
      </w:r>
    </w:p>
    <w:p>
      <w:pPr>
        <w:pStyle w:val="BodyText"/>
      </w:pPr>
      <w:r>
        <w:t xml:space="preserve">Col. Cuauhtémoc, C.P. 06600</w:t>
      </w:r>
    </w:p>
    <w:p>
      <w:pPr>
        <w:pStyle w:val="BodyText"/>
      </w:pPr>
      <w:r>
        <w:t xml:space="preserve">Mexico City, Mexico</w:t>
      </w:r>
    </w:p>
    <w:p>
      <w:pPr>
        <w:pStyle w:val="BodyText"/>
      </w:pPr>
      <w:r>
        <w:t xml:space="preserve">Tel: +52 (55) 5555-0142</w:t>
      </w:r>
    </w:p>
    <w:p>
      <w:pPr>
        <w:pStyle w:val="BodyText"/>
      </w:pPr>
      <w:r>
        <w:t xml:space="preserve">Email: billing@eduadminmexicocity.mx</w:t>
      </w:r>
    </w:p>
    <w:p>
      <w:pPr>
        <w:pStyle w:val="BodyText"/>
      </w:pPr>
      <w:r>
        <w:t xml:space="preserve">RFC: EAM180520KX7</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EAM-2025-04871</w:t>
      </w:r>
    </w:p>
    <w:p>
      <w:pPr>
        <w:pStyle w:val="BodyText"/>
      </w:pPr>
      <w:r>
        <w:t xml:space="preserve">Issue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Instituto Educativo del Valle</w:t>
      </w:r>
    </w:p>
    <w:p>
      <w:pPr>
        <w:pStyle w:val="BodyText"/>
      </w:pPr>
      <w:r>
        <w:t xml:space="preserve">Attn: Lic. María Fernanda Gutiérrez</w:t>
      </w:r>
    </w:p>
    <w:p>
      <w:pPr>
        <w:pStyle w:val="BodyText"/>
      </w:pPr>
      <w:r>
        <w:t xml:space="preserve">Director General</w:t>
      </w:r>
    </w:p>
    <w:p>
      <w:pPr>
        <w:pStyle w:val="BodyText"/>
      </w:pPr>
      <w:r>
        <w:t xml:space="preserve">Av. Insurgentes Sur 1850</w:t>
      </w:r>
    </w:p>
    <w:p>
      <w:pPr>
        <w:pStyle w:val="BodyText"/>
      </w:pPr>
      <w:r>
        <w:t xml:space="preserve">Col. Del Valle Centro, C.P. 03100</w:t>
      </w:r>
    </w:p>
    <w:p>
      <w:pPr>
        <w:pStyle w:val="BodyText"/>
      </w:pPr>
      <w:r>
        <w:t xml:space="preserve">Mexico City, Mexico</w:t>
      </w:r>
    </w:p>
    <w:p>
      <w:pPr>
        <w:pStyle w:val="BodyText"/>
      </w:pPr>
      <w:r>
        <w:t xml:space="preserve">RFC: IEV120315AB8</w:t>
      </w:r>
    </w:p>
    <w:bookmarkEnd w:id="22"/>
    <w:bookmarkStart w:id="23" w:name="service-period"/>
    <w:p>
      <w:pPr>
        <w:pStyle w:val="Heading3"/>
      </w:pPr>
      <w:r>
        <w:t xml:space="preserve">Service Period</w:t>
      </w:r>
    </w:p>
    <w:p>
      <w:pPr>
        <w:pStyle w:val="FirstParagraph"/>
      </w:pPr>
      <w:r>
        <w:t xml:space="preserve">January 1, 2025 – June 30, 2025</w:t>
      </w:r>
    </w:p>
    <w:p>
      <w:pPr>
        <w:pStyle w:val="BodyText"/>
      </w:pPr>
      <w:r>
        <w:t xml:space="preserve">Semester: Spring 2025</w:t>
      </w:r>
    </w:p>
    <w:p>
      <w:pPr>
        <w:pStyle w:val="BodyText"/>
      </w:pPr>
      <w:r>
        <w:t xml:space="preserve">Location: Mexico City, Mexico</w:t>
      </w:r>
    </w:p>
    <w:bookmarkEnd w:id="23"/>
    <w:bookmarkStart w:id="24" w:name="payment-method"/>
    <w:p>
      <w:pPr>
        <w:pStyle w:val="Heading3"/>
      </w:pPr>
      <w:r>
        <w:t xml:space="preserve">Payment Method</w:t>
      </w:r>
    </w:p>
    <w:p>
      <w:pPr>
        <w:pStyle w:val="FirstParagraph"/>
      </w:pPr>
      <w:r>
        <w:t xml:space="preserve">Bank Transfer (SPEI)</w:t>
      </w:r>
    </w:p>
    <w:p>
      <w:pPr>
        <w:pStyle w:val="BodyText"/>
      </w:pPr>
      <w:r>
        <w:t xml:space="preserve">Banco: BBVA México</w:t>
      </w:r>
    </w:p>
    <w:p>
      <w:pPr>
        <w:pStyle w:val="BodyText"/>
      </w:pPr>
      <w:r>
        <w:t xml:space="preserve">CLABE: 012180004567890123</w:t>
      </w:r>
    </w:p>
    <w:p>
      <w:pPr>
        <w:pStyle w:val="BodyText"/>
      </w:pPr>
      <w:r>
        <w:t xml:space="preserve">Account: EduAdmin Mexico City</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rPr>
                <w:bCs/>
                <w:b/>
              </w:rPr>
              <w:t xml:space="preserve">Education Administrator – Curriculum Oversight</w:t>
            </w:r>
            <w:r>
              <w:br/>
            </w:r>
            <w:r>
              <w:t xml:space="preserve">Monthly supervision and coordination of academic curricula across all departments at the Mexico City campus, ensuring compliance with SEP (Secretaría de Educación Pública) standards and institutional accreditation requirements.</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2</w:t>
            </w:r>
          </w:p>
        </w:tc>
        <w:tc>
          <w:tcPr/>
          <w:p>
            <w:pPr>
              <w:pStyle w:val="Compact"/>
              <w:jc w:val="left"/>
            </w:pPr>
            <w:r>
              <w:rPr>
                <w:bCs/>
                <w:b/>
              </w:rPr>
              <w:t xml:space="preserve">Education Administrator – Faculty Management</w:t>
            </w:r>
            <w:r>
              <w:br/>
            </w:r>
            <w:r>
              <w:t xml:space="preserve">Recruitment, onboarding, performance evaluation, and professional development planning for 120+ teaching staff members. Includes quarterly review meetings conducted in Mexico City and coordination with the Human Resources department.</w:t>
            </w:r>
          </w:p>
        </w:tc>
        <w:tc>
          <w:tcPr/>
          <w:p>
            <w:pPr>
              <w:pStyle w:val="Compact"/>
              <w:jc w:val="left"/>
            </w:pPr>
            <w:r>
              <w:t xml:space="preserve">6 months</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3</w:t>
            </w:r>
          </w:p>
        </w:tc>
        <w:tc>
          <w:tcPr/>
          <w:p>
            <w:pPr>
              <w:pStyle w:val="Compact"/>
              <w:jc w:val="left"/>
            </w:pPr>
            <w:r>
              <w:rPr>
                <w:bCs/>
                <w:b/>
              </w:rPr>
              <w:t xml:space="preserve">Education Administrator – Financial &amp; Budget Administration</w:t>
            </w:r>
            <w:r>
              <w:br/>
            </w:r>
            <w:r>
              <w:t xml:space="preserve">Preparation and management of the semester budget, vendor contract negotiations, procurement oversight, and financial reporting for the Mexico City educational facility. Includes monthly reconciliation and tax compliance documentation for Mexican fiscal authorities.</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4</w:t>
            </w:r>
          </w:p>
        </w:tc>
        <w:tc>
          <w:tcPr/>
          <w:p>
            <w:pPr>
              <w:pStyle w:val="Compact"/>
              <w:jc w:val="left"/>
            </w:pPr>
            <w:r>
              <w:rPr>
                <w:bCs/>
                <w:b/>
              </w:rPr>
              <w:t xml:space="preserve">Education Administrator – Student Affairs &amp; Enrollment</w:t>
            </w:r>
            <w:r>
              <w:br/>
            </w:r>
            <w:r>
              <w:t xml:space="preserve">Management of enrollment processes, student records, scholarship administration, and parent-communication protocols for approximately 2,400 students. Coordination with the Mexico City municipal education office for registration compliance.</w:t>
            </w:r>
          </w:p>
        </w:tc>
        <w:tc>
          <w:tcPr/>
          <w:p>
            <w:pPr>
              <w:pStyle w:val="Compact"/>
              <w:jc w:val="left"/>
            </w:pPr>
            <w:r>
              <w:t xml:space="preserve">6 months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5</w:t>
            </w:r>
          </w:p>
        </w:tc>
        <w:tc>
          <w:tcPr/>
          <w:p>
            <w:pPr>
              <w:pStyle w:val="Compact"/>
              <w:jc w:val="left"/>
            </w:pPr>
            <w:r>
              <w:rPr>
                <w:bCs/>
                <w:b/>
              </w:rPr>
              <w:t xml:space="preserve">Education Administrator – Compliance &amp; Accreditation</w:t>
            </w:r>
            <w:r>
              <w:br/>
            </w:r>
            <w:r>
              <w:t xml:space="preserve">Preparation of documentation for CONAHCyT and SEP accreditation audits. Management of legal compliance with Mexican labor law (Ley Federal del Trabajo), data protection regulations (LFPDPPP), and local Mexico City municipal ordinances governing educational institutions.</w:t>
            </w:r>
          </w:p>
        </w:tc>
        <w:tc>
          <w:tcPr/>
          <w:p>
            <w:pPr>
              <w:pStyle w:val="Compact"/>
              <w:jc w:val="left"/>
            </w:pPr>
            <w:r>
              <w:t xml:space="preserve">6 months</w:t>
            </w:r>
          </w:p>
        </w:tc>
        <w:tc>
          <w:tcPr/>
          <w:p>
            <w:pPr>
              <w:pStyle w:val="Compact"/>
              <w:jc w:val="left"/>
            </w:pPr>
            <w:r>
              <w:t xml:space="preserve">$22,500.00</w:t>
            </w:r>
          </w:p>
        </w:tc>
        <w:tc>
          <w:tcPr/>
          <w:p>
            <w:pPr>
              <w:pStyle w:val="Compact"/>
              <w:jc w:val="left"/>
            </w:pPr>
            <w:r>
              <w:t xml:space="preserve">$135,000.00</w:t>
            </w:r>
          </w:p>
        </w:tc>
      </w:tr>
      <w:tr>
        <w:tc>
          <w:tcPr/>
          <w:p>
            <w:pPr>
              <w:pStyle w:val="Compact"/>
              <w:jc w:val="left"/>
            </w:pPr>
            <w:r>
              <w:t xml:space="preserve">6</w:t>
            </w:r>
          </w:p>
        </w:tc>
        <w:tc>
          <w:tcPr/>
          <w:p>
            <w:pPr>
              <w:pStyle w:val="Compact"/>
              <w:jc w:val="left"/>
            </w:pPr>
            <w:r>
              <w:rPr>
                <w:bCs/>
                <w:b/>
              </w:rPr>
              <w:t xml:space="preserve">Education Administrator – Strategic Planning &amp; Reporting</w:t>
            </w:r>
            <w:r>
              <w:br/>
            </w:r>
            <w:r>
              <w:t xml:space="preserve">Development of the annual strategic plan, preparation of board-level reports, implementation of quality assurance frameworks, and coordination of inter-institutional partnerships within the Mexico City higher education network.</w:t>
            </w:r>
          </w:p>
        </w:tc>
        <w:tc>
          <w:tcPr/>
          <w:p>
            <w:pPr>
              <w:pStyle w:val="Compact"/>
              <w:jc w:val="left"/>
            </w:pPr>
            <w:r>
              <w:t xml:space="preserve">6 months</w:t>
            </w:r>
          </w:p>
        </w:tc>
        <w:tc>
          <w:tcPr/>
          <w:p>
            <w:pPr>
              <w:pStyle w:val="Compact"/>
              <w:jc w:val="left"/>
            </w:pPr>
            <w:r>
              <w:t xml:space="preserve">$25,000.00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$1,146,000.00</w:t>
            </w:r>
          </w:p>
        </w:tc>
      </w:tr>
      <w:tr>
        <w:tc>
          <w:tcPr/>
          <w:p>
            <w:pPr>
              <w:pStyle w:val="Compact"/>
              <w:jc w:val="left"/>
            </w:pPr>
            <w:r>
              <w:t xml:space="preserve">IVA (16% – Mexican Value Added Tax)</w:t>
            </w:r>
          </w:p>
        </w:tc>
        <w:tc>
          <w:tcPr/>
          <w:p>
            <w:pPr>
              <w:pStyle w:val="Compact"/>
              <w:jc w:val="right"/>
            </w:pPr>
            <w:r>
              <w:t xml:space="preserve">$183,360.00</w:t>
            </w:r>
          </w:p>
        </w:tc>
      </w:tr>
      <w:tr>
        <w:tc>
          <w:tcPr/>
          <w:p>
            <w:pPr>
              <w:pStyle w:val="Compact"/>
              <w:jc w:val="left"/>
            </w:pPr>
            <w:r>
              <w:t xml:space="preserve">Retención ISR (10%)</w:t>
            </w:r>
          </w:p>
        </w:tc>
        <w:tc>
          <w:tcPr/>
          <w:p>
            <w:pPr>
              <w:pStyle w:val="Compact"/>
              <w:jc w:val="right"/>
            </w:pPr>
            <w:r>
              <w:t xml:space="preserve">($114,600.00)</w:t>
            </w:r>
          </w:p>
        </w:tc>
      </w:tr>
      <w:tr>
        <w:tc>
          <w:tcPr/>
          <w:p>
            <w:pPr>
              <w:pStyle w:val="Compact"/>
              <w:jc w:val="left"/>
            </w:pPr>
            <w:r>
              <w:t xml:space="preserve">Net Amount Due</w:t>
            </w:r>
          </w:p>
        </w:tc>
        <w:tc>
          <w:tcPr/>
          <w:p>
            <w:pPr>
              <w:pStyle w:val="Compact"/>
              <w:jc w:val="right"/>
            </w:pPr>
            <w:r>
              <w:t xml:space="preserve">$1,214,760.00</w:t>
            </w:r>
          </w:p>
        </w:tc>
      </w:tr>
    </w:tbl>
    <w:bookmarkStart w:id="25" w:name="terms-conditions-important-notes"/>
    <w:p>
      <w:pPr>
        <w:pStyle w:val="Heading3"/>
      </w:pPr>
      <w:r>
        <w:t xml:space="preserve">Terms, Conditions &amp; Important Notes</w:t>
      </w:r>
    </w:p>
    <w:p>
      <w:pPr>
        <w:pStyle w:val="FirstParagraph"/>
      </w:pPr>
      <w:r>
        <w:rPr>
          <w:bCs/>
          <w:b/>
        </w:rPr>
        <w:t xml:space="preserve">1.</w:t>
      </w:r>
      <w:r>
        <w:t xml:space="preserve"> </w:t>
      </w:r>
      <w:r>
        <w:t xml:space="preserve">This Invoice is issued in accordance with the professional services agreement (Contrato de Prestación de Servicios Profesionales) dated January 1, 2025, between EduAdmin Mexico City and Instituto Educativo del Valle, both legally domiciled in Mexico City, Mexico.</w:t>
      </w:r>
    </w:p>
    <w:p>
      <w:pPr>
        <w:pStyle w:val="BodyText"/>
      </w:pPr>
      <w:r>
        <w:rPr>
          <w:bCs/>
          <w:b/>
        </w:rPr>
        <w:t xml:space="preserve">2.</w:t>
      </w:r>
      <w:r>
        <w:t xml:space="preserve"> </w:t>
      </w:r>
      <w:r>
        <w:t xml:space="preserve">Payment is due within thirty (30) calendar days from the issue date of this Invoice. Late payments shall accrue interest at the rate established by the Banco de México (Banxico) for commercial transactions in Mexico.</w:t>
      </w:r>
    </w:p>
    <w:p>
      <w:pPr>
        <w:pStyle w:val="BodyText"/>
      </w:pPr>
      <w:r>
        <w:rPr>
          <w:bCs/>
          <w:b/>
        </w:rPr>
        <w:t xml:space="preserve">3.</w:t>
      </w:r>
      <w:r>
        <w:t xml:space="preserve"> </w:t>
      </w:r>
      <w:r>
        <w:t xml:space="preserve">The Education Administrator services described herein are rendered exclusively for the Mexico City campus. Any additional services, extensions, or modifications to the scope of work must be authorized in writing by both parties prior to execution.</w:t>
      </w:r>
    </w:p>
    <w:p>
      <w:pPr>
        <w:pStyle w:val="BodyText"/>
      </w:pPr>
      <w:r>
        <w:rPr>
          <w:bCs/>
          <w:b/>
        </w:rPr>
        <w:t xml:space="preserve">4.</w:t>
      </w:r>
      <w:r>
        <w:t xml:space="preserve"> </w:t>
      </w:r>
      <w:r>
        <w:t xml:space="preserve">All amounts are expressed in Mexican Pesos (MXN). The IVA (Impuesto al Valor Agregado) of 16% is applied in compliance with the Código Fiscal de la Federación of Mexico. The ISR (Impuesto Sobre la Renta) withholding of 10% is applied per Article 109 of the LISR.</w:t>
      </w:r>
    </w:p>
    <w:p>
      <w:pPr>
        <w:pStyle w:val="BodyText"/>
      </w:pPr>
      <w:r>
        <w:rPr>
          <w:bCs/>
          <w:b/>
        </w:rPr>
        <w:t xml:space="preserve">5.</w:t>
      </w:r>
      <w:r>
        <w:t xml:space="preserve"> </w:t>
      </w:r>
      <w:r>
        <w:t xml:space="preserve">This Invoice constitutes a CFDI (Comprobante Fiscal Digital por Internet) reference document. The corresponding electronic tax receipt will be issued through the SAT (Servicio de Administración Tributaria) platform within five business days of payment confirmation.</w:t>
      </w:r>
    </w:p>
    <w:p>
      <w:pPr>
        <w:pStyle w:val="BodyText"/>
      </w:pPr>
      <w:r>
        <w:rPr>
          <w:bCs/>
          <w:b/>
        </w:rPr>
        <w:t xml:space="preserve">6.</w:t>
      </w:r>
      <w:r>
        <w:t xml:space="preserve"> </w:t>
      </w:r>
      <w:r>
        <w:t xml:space="preserve">The Education Administrator shall maintain full confidentiality of all institutional data, student records, and financial information in compliance with the Ley Federal de Protección de Datos Personales en Posesión de los Particulares (LFPDPPP) applicable in Mexico.</w:t>
      </w:r>
    </w:p>
    <w:p>
      <w:pPr>
        <w:pStyle w:val="BodyText"/>
      </w:pPr>
      <w:r>
        <w:rPr>
          <w:bCs/>
          <w:b/>
        </w:rPr>
        <w:t xml:space="preserve">7.</w:t>
      </w:r>
      <w:r>
        <w:t xml:space="preserve"> </w:t>
      </w:r>
      <w:r>
        <w:t xml:space="preserve">Disputes arising from this Invoice or the underlying services agreement shall be resolved through arbitration in Mexico City, Mexico, in accordance with the Ley de Arbitraje Comercial of the Mexican Federal Civil Code.</w:t>
      </w:r>
    </w:p>
    <w:p>
      <w:pPr>
        <w:pStyle w:val="BodyText"/>
      </w:pPr>
      <w:r>
        <w:rPr>
          <w:bCs/>
          <w:b/>
        </w:rPr>
        <w:t xml:space="preserve">8.</w:t>
      </w:r>
      <w:r>
        <w:t xml:space="preserve"> </w:t>
      </w:r>
      <w:r>
        <w:t xml:space="preserve">This Invoice is valid for a period of thirty-six (36) months from the date of issue, as required by Mexican tax regulations for the retention of fiscal documentation.</w:t>
      </w:r>
    </w:p>
    <w:bookmarkEnd w:id="25"/>
    <w:p>
      <w:pPr>
        <w:pStyle w:val="BodyText"/>
      </w:pPr>
      <w:r>
        <w:rPr>
          <w:bCs/>
          <w:b/>
        </w:rPr>
        <w:t xml:space="preserve">EduAdmin Mexico City</w:t>
      </w:r>
      <w:r>
        <w:t xml:space="preserve"> </w:t>
      </w:r>
      <w:r>
        <w:t xml:space="preserve">| Professional Education Administration Services | Mexico City, Mexico</w:t>
      </w:r>
    </w:p>
    <w:p>
      <w:pPr>
        <w:pStyle w:val="BodyText"/>
      </w:pPr>
      <w:r>
        <w:t xml:space="preserve">This Invoice was generated electronically and is valid without a physical signature. For verification, contact billing@eduadminmexicocity.mx or call +52 (55) 5555-0142.</w:t>
      </w:r>
    </w:p>
    <w:p>
      <w:pPr>
        <w:pStyle w:val="BodyText"/>
      </w:pPr>
      <w:r>
        <w:t xml:space="preserve">Invoice No. EAM-2025-04871 | Issued: June 15, 2025 | Mexico City, Mexico</w:t>
      </w:r>
    </w:p>
    <w:p>
      <w:pPr>
        <w:pStyle w:val="BodyText"/>
      </w:pPr>
      <w:r>
        <w:t xml:space="preserve">This document is the property of EduAdmin Mexico City. Unauthorized reproduction or distribution is prohibited under Mexican intellectual property law (Ley Federal del Derecho de Autor).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Mexico City, Mexico</dc:title>
  <dc:creator/>
  <dc:language>en</dc:language>
  <cp:keywords/>
  <dcterms:created xsi:type="dcterms:W3CDTF">2026-10-10T10:20:28Z</dcterms:created>
  <dcterms:modified xsi:type="dcterms:W3CDTF">2026-10-10T10:20:28Z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