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manila-academic-solutions-inc."/>
    <w:p>
      <w:pPr>
        <w:pStyle w:val="Heading1"/>
      </w:pPr>
      <w:r>
        <w:t xml:space="preserve">Manila Academic Solutions Inc.</w:t>
      </w:r>
    </w:p>
    <w:p>
      <w:pPr>
        <w:pStyle w:val="FirstParagraph"/>
      </w:pPr>
      <w:r>
        <w:t xml:space="preserve">128th Floor, One Ayala Center, Makati City</w:t>
      </w:r>
    </w:p>
    <w:p>
      <w:pPr>
        <w:pStyle w:val="BodyText"/>
      </w:pPr>
      <w:r>
        <w:t xml:space="preserve">Philippines Manila, Metro Manila 1200</w:t>
      </w:r>
    </w:p>
    <w:p>
      <w:pPr>
        <w:pStyle w:val="BodyText"/>
      </w:pPr>
      <w:r>
        <w:t xml:space="preserve">Tel: +63 (2) 8888-4521 | Email: billing@manilaacademicsolutions.ph</w:t>
      </w:r>
    </w:p>
    <w:p>
      <w:pPr>
        <w:pStyle w:val="BodyText"/>
      </w:pPr>
      <w:r>
        <w:t xml:space="preserve">TIN: 000-123-456-000 | BIR Registration No. 2019-0456-789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MAS-2025-00847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January 2025 – June 2025</w:t>
      </w:r>
    </w:p>
    <w:p>
      <w:pPr>
        <w:pStyle w:val="BodyText"/>
      </w:pPr>
      <w:r>
        <w:t xml:space="preserve">Philippines Manila</w:t>
      </w:r>
    </w:p>
    <w:bookmarkEnd w:id="21"/>
    <w:bookmarkStart w:id="22" w:name="bill-to"/>
    <w:p>
      <w:pPr>
        <w:pStyle w:val="Heading3"/>
      </w:pPr>
      <w:r>
        <w:t xml:space="preserve">Bill To</w:t>
      </w:r>
    </w:p>
    <w:p>
      <w:pPr>
        <w:pStyle w:val="FirstParagraph"/>
      </w:pPr>
      <w:r>
        <w:t xml:space="preserve">Department of Education – Region III</w:t>
      </w:r>
    </w:p>
    <w:p>
      <w:pPr>
        <w:pStyle w:val="BodyText"/>
      </w:pPr>
      <w:r>
        <w:t xml:space="preserve">Attn: Dr. Maria Santos, Regional Director</w:t>
      </w:r>
    </w:p>
    <w:p>
      <w:pPr>
        <w:pStyle w:val="BodyText"/>
      </w:pPr>
      <w:r>
        <w:t xml:space="preserve">DepEd Regional Office, Quezon Avenue</w:t>
      </w:r>
    </w:p>
    <w:p>
      <w:pPr>
        <w:pStyle w:val="BodyText"/>
      </w:pPr>
      <w:r>
        <w:t xml:space="preserve">Philippines Manila, Metro Manila 1000</w:t>
      </w:r>
    </w:p>
    <w:p>
      <w:pPr>
        <w:pStyle w:val="BodyText"/>
      </w:pPr>
      <w:r>
        <w:t xml:space="preserve">TIN: 000-987-654-000</w:t>
      </w:r>
    </w:p>
    <w:bookmarkEnd w:id="22"/>
    <w:bookmarkStart w:id="23" w:name="service-provider"/>
    <w:p>
      <w:pPr>
        <w:pStyle w:val="Heading3"/>
      </w:pPr>
      <w:r>
        <w:t xml:space="preserve">Service Provider</w:t>
      </w:r>
    </w:p>
    <w:p>
      <w:pPr>
        <w:pStyle w:val="FirstParagraph"/>
      </w:pPr>
      <w:r>
        <w:t xml:space="preserve">Manila Academic Solutions Inc.</w:t>
      </w:r>
    </w:p>
    <w:p>
      <w:pPr>
        <w:pStyle w:val="BodyText"/>
      </w:pPr>
      <w:r>
        <w:t xml:space="preserve">Attn: Mr. James Rodriguez, Account Manager</w:t>
      </w:r>
    </w:p>
    <w:p>
      <w:pPr>
        <w:pStyle w:val="BodyText"/>
      </w:pPr>
      <w:r>
        <w:t xml:space="preserve">128th Floor, One Ayala Center, Makati City</w:t>
      </w:r>
    </w:p>
    <w:p>
      <w:pPr>
        <w:pStyle w:val="BodyText"/>
      </w:pPr>
      <w:r>
        <w:t xml:space="preserve">Philippines Manila, Metro Manila 1200</w:t>
      </w:r>
    </w:p>
    <w:p>
      <w:pPr>
        <w:pStyle w:val="BodyText"/>
      </w:pPr>
      <w:r>
        <w:t xml:space="preserve">TIN: 000-123-456-000</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Education Administrator – Curriculum Development &amp; Implementation Oversight (Monthly Retainer, Philippines Manila District Schools)</w:t>
            </w:r>
          </w:p>
        </w:tc>
        <w:tc>
          <w:tcPr/>
          <w:p>
            <w:pPr>
              <w:pStyle w:val="Compact"/>
              <w:jc w:val="left"/>
            </w:pPr>
            <w:r>
              <w:t xml:space="preserve">6 months</w:t>
            </w:r>
          </w:p>
        </w:tc>
        <w:tc>
          <w:tcPr/>
          <w:p>
            <w:pPr>
              <w:pStyle w:val="Compact"/>
              <w:jc w:val="left"/>
            </w:pPr>
            <w:r>
              <w:t xml:space="preserve">85,000.00</w:t>
            </w:r>
          </w:p>
        </w:tc>
        <w:tc>
          <w:tcPr/>
          <w:p>
            <w:pPr>
              <w:pStyle w:val="Compact"/>
              <w:jc w:val="left"/>
            </w:pPr>
            <w:r>
              <w:t xml:space="preserve">510,000.00</w:t>
            </w:r>
          </w:p>
        </w:tc>
      </w:tr>
      <w:tr>
        <w:tc>
          <w:tcPr/>
          <w:p>
            <w:pPr>
              <w:pStyle w:val="Compact"/>
              <w:jc w:val="left"/>
            </w:pPr>
            <w:r>
              <w:t xml:space="preserve">2</w:t>
            </w:r>
          </w:p>
        </w:tc>
        <w:tc>
          <w:tcPr/>
          <w:p>
            <w:pPr>
              <w:pStyle w:val="Compact"/>
              <w:jc w:val="left"/>
            </w:pPr>
            <w:r>
              <w:t xml:space="preserve">Education Administrator – Teacher Performance Evaluation &amp; Professional Development Program Coordination</w:t>
            </w:r>
          </w:p>
        </w:tc>
        <w:tc>
          <w:tcPr/>
          <w:p>
            <w:pPr>
              <w:pStyle w:val="Compact"/>
              <w:jc w:val="left"/>
            </w:pPr>
            <w:r>
              <w:t xml:space="preserve">6 months</w:t>
            </w:r>
          </w:p>
        </w:tc>
        <w:tc>
          <w:tcPr/>
          <w:p>
            <w:pPr>
              <w:pStyle w:val="Compact"/>
              <w:jc w:val="left"/>
            </w:pPr>
            <w:r>
              <w:t xml:space="preserve">45,000.00</w:t>
            </w:r>
          </w:p>
        </w:tc>
        <w:tc>
          <w:tcPr/>
          <w:p>
            <w:pPr>
              <w:pStyle w:val="Compact"/>
              <w:jc w:val="left"/>
            </w:pPr>
            <w:r>
              <w:t xml:space="preserve">270,000.00</w:t>
            </w:r>
          </w:p>
        </w:tc>
      </w:tr>
      <w:tr>
        <w:tc>
          <w:tcPr/>
          <w:p>
            <w:pPr>
              <w:pStyle w:val="Compact"/>
              <w:jc w:val="left"/>
            </w:pPr>
            <w:r>
              <w:t xml:space="preserve">3</w:t>
            </w:r>
          </w:p>
        </w:tc>
        <w:tc>
          <w:tcPr/>
          <w:p>
            <w:pPr>
              <w:pStyle w:val="Compact"/>
              <w:jc w:val="left"/>
            </w:pPr>
            <w:r>
              <w:t xml:space="preserve">Education Administrator – Student Enrollment Management &amp; Academic Records Administration (Philippines Manila Public Schools)</w:t>
            </w:r>
          </w:p>
        </w:tc>
        <w:tc>
          <w:tcPr/>
          <w:p>
            <w:pPr>
              <w:pStyle w:val="Compact"/>
              <w:jc w:val="left"/>
            </w:pPr>
            <w:r>
              <w:t xml:space="preserve">6 months</w:t>
            </w:r>
          </w:p>
        </w:tc>
        <w:tc>
          <w:tcPr/>
          <w:p>
            <w:pPr>
              <w:pStyle w:val="Compact"/>
              <w:jc w:val="left"/>
            </w:pPr>
            <w:r>
              <w:t xml:space="preserve">38,500.00</w:t>
            </w:r>
          </w:p>
        </w:tc>
        <w:tc>
          <w:tcPr/>
          <w:p>
            <w:pPr>
              <w:pStyle w:val="Compact"/>
              <w:jc w:val="left"/>
            </w:pPr>
            <w:r>
              <w:t xml:space="preserve">231,000.00</w:t>
            </w:r>
          </w:p>
        </w:tc>
      </w:tr>
      <w:tr>
        <w:tc>
          <w:tcPr/>
          <w:p>
            <w:pPr>
              <w:pStyle w:val="Compact"/>
              <w:jc w:val="left"/>
            </w:pPr>
            <w:r>
              <w:t xml:space="preserve">4</w:t>
            </w:r>
          </w:p>
        </w:tc>
        <w:tc>
          <w:tcPr/>
          <w:p>
            <w:pPr>
              <w:pStyle w:val="Compact"/>
              <w:jc w:val="left"/>
            </w:pPr>
            <w:r>
              <w:t xml:space="preserve">Education Administrator – Budget Planning, Allocation &amp; Financial Reporting for Academic Programs</w:t>
            </w:r>
          </w:p>
        </w:tc>
        <w:tc>
          <w:tcPr/>
          <w:p>
            <w:pPr>
              <w:pStyle w:val="Compact"/>
              <w:jc w:val="left"/>
            </w:pPr>
            <w:r>
              <w:t xml:space="preserve">6 months</w:t>
            </w:r>
          </w:p>
        </w:tc>
        <w:tc>
          <w:tcPr/>
          <w:p>
            <w:pPr>
              <w:pStyle w:val="Compact"/>
              <w:jc w:val="left"/>
            </w:pPr>
            <w:r>
              <w:t xml:space="preserve">32,000.00</w:t>
            </w:r>
          </w:p>
        </w:tc>
        <w:tc>
          <w:tcPr/>
          <w:p>
            <w:pPr>
              <w:pStyle w:val="Compact"/>
              <w:jc w:val="left"/>
            </w:pPr>
            <w:r>
              <w:t xml:space="preserve">192,000.00</w:t>
            </w:r>
          </w:p>
        </w:tc>
      </w:tr>
      <w:tr>
        <w:tc>
          <w:tcPr/>
          <w:p>
            <w:pPr>
              <w:pStyle w:val="Compact"/>
              <w:jc w:val="left"/>
            </w:pPr>
            <w:r>
              <w:t xml:space="preserve">5</w:t>
            </w:r>
          </w:p>
        </w:tc>
        <w:tc>
          <w:tcPr/>
          <w:p>
            <w:pPr>
              <w:pStyle w:val="Compact"/>
              <w:jc w:val="left"/>
            </w:pPr>
            <w:r>
              <w:t xml:space="preserve">Education Administrator – Policy Compliance Auditing &amp; DepEd Regulatory Reporting (Philippines Manila Jurisdiction)</w:t>
            </w:r>
          </w:p>
        </w:tc>
        <w:tc>
          <w:tcPr/>
          <w:p>
            <w:pPr>
              <w:pStyle w:val="Compact"/>
              <w:jc w:val="left"/>
            </w:pPr>
            <w:r>
              <w:t xml:space="preserve">6 months</w:t>
            </w:r>
          </w:p>
        </w:tc>
        <w:tc>
          <w:tcPr/>
          <w:p>
            <w:pPr>
              <w:pStyle w:val="Compact"/>
              <w:jc w:val="left"/>
            </w:pPr>
            <w:r>
              <w:t xml:space="preserve">28,000.00</w:t>
            </w:r>
          </w:p>
        </w:tc>
        <w:tc>
          <w:tcPr/>
          <w:p>
            <w:pPr>
              <w:pStyle w:val="Compact"/>
              <w:jc w:val="left"/>
            </w:pPr>
            <w:r>
              <w:t xml:space="preserve">168,000.00</w:t>
            </w:r>
          </w:p>
        </w:tc>
      </w:tr>
      <w:tr>
        <w:tc>
          <w:tcPr/>
          <w:p>
            <w:pPr>
              <w:pStyle w:val="Compact"/>
              <w:jc w:val="left"/>
            </w:pPr>
            <w:r>
              <w:t xml:space="preserve">6</w:t>
            </w:r>
          </w:p>
        </w:tc>
        <w:tc>
          <w:tcPr/>
          <w:p>
            <w:pPr>
              <w:pStyle w:val="Compact"/>
              <w:jc w:val="left"/>
            </w:pPr>
            <w:r>
              <w:t xml:space="preserve">Education Administrator – Stakeholder Communication, Parent-Teacher Association Liaison &amp; Community Engagement</w:t>
            </w:r>
          </w:p>
        </w:tc>
        <w:tc>
          <w:tcPr/>
          <w:p>
            <w:pPr>
              <w:pStyle w:val="Compact"/>
              <w:jc w:val="left"/>
            </w:pPr>
            <w:r>
              <w:t xml:space="preserve">6 months</w:t>
            </w:r>
          </w:p>
        </w:tc>
        <w:tc>
          <w:tcPr/>
          <w:p>
            <w:pPr>
              <w:pStyle w:val="Compact"/>
              <w:jc w:val="left"/>
            </w:pPr>
            <w:r>
              <w:t xml:space="preserve">22,500.00</w:t>
            </w:r>
          </w:p>
        </w:tc>
        <w:tc>
          <w:tcPr/>
          <w:p>
            <w:pPr>
              <w:pStyle w:val="Compact"/>
              <w:jc w:val="left"/>
            </w:pPr>
            <w:r>
              <w:t xml:space="preserve">135,000.00</w:t>
            </w:r>
          </w:p>
        </w:tc>
      </w:tr>
      <w:tr>
        <w:tc>
          <w:tcPr/>
          <w:p>
            <w:pPr>
              <w:pStyle w:val="Compact"/>
              <w:jc w:val="left"/>
            </w:pPr>
            <w:r>
              <w:t xml:space="preserve">7</w:t>
            </w:r>
          </w:p>
        </w:tc>
        <w:tc>
          <w:tcPr/>
          <w:p>
            <w:pPr>
              <w:pStyle w:val="Compact"/>
              <w:jc w:val="left"/>
            </w:pPr>
            <w:r>
              <w:t xml:space="preserve">Education Administrator – Technology Integration &amp; E-Learning Platform Administration (Philippines Manila Digital Schools Initiative)</w:t>
            </w:r>
          </w:p>
        </w:tc>
        <w:tc>
          <w:tcPr/>
          <w:p>
            <w:pPr>
              <w:pStyle w:val="Compact"/>
              <w:jc w:val="left"/>
            </w:pPr>
            <w:r>
              <w:t xml:space="preserve">6 months</w:t>
            </w:r>
          </w:p>
        </w:tc>
        <w:tc>
          <w:tcPr/>
          <w:p>
            <w:pPr>
              <w:pStyle w:val="Compact"/>
              <w:jc w:val="left"/>
            </w:pPr>
            <w:r>
              <w:t xml:space="preserve">40,000.00</w:t>
            </w:r>
          </w:p>
        </w:tc>
        <w:tc>
          <w:tcPr/>
          <w:p>
            <w:pPr>
              <w:pStyle w:val="Compact"/>
              <w:jc w:val="left"/>
            </w:pPr>
            <w:r>
              <w:t xml:space="preserve">240,000.00</w:t>
            </w:r>
          </w:p>
        </w:tc>
      </w:tr>
      <w:tr>
        <w:tc>
          <w:tcPr/>
          <w:p>
            <w:pPr>
              <w:pStyle w:val="Compact"/>
              <w:jc w:val="left"/>
            </w:pPr>
            <w:r>
              <w:t xml:space="preserve">8</w:t>
            </w:r>
          </w:p>
        </w:tc>
        <w:tc>
          <w:tcPr/>
          <w:p>
            <w:pPr>
              <w:pStyle w:val="Compact"/>
              <w:jc w:val="left"/>
            </w:pPr>
            <w:r>
              <w:t xml:space="preserve">Education Administrator – Emergency Response Planning &amp; School Safety Protocol Development</w:t>
            </w:r>
          </w:p>
        </w:tc>
        <w:tc>
          <w:tcPr/>
          <w:p>
            <w:pPr>
              <w:pStyle w:val="Compact"/>
              <w:jc w:val="left"/>
            </w:pPr>
            <w:r>
              <w:t xml:space="preserve">6 months</w:t>
            </w:r>
          </w:p>
        </w:tc>
        <w:tc>
          <w:tcPr/>
          <w:p>
            <w:pPr>
              <w:pStyle w:val="Compact"/>
              <w:jc w:val="left"/>
            </w:pPr>
            <w:r>
              <w:t xml:space="preserve">18,000.00</w:t>
            </w:r>
          </w:p>
        </w:tc>
        <w:tc>
          <w:tcPr/>
          <w:p>
            <w:pPr>
              <w:pStyle w:val="Compact"/>
              <w:jc w:val="left"/>
            </w:pPr>
            <w:r>
              <w:t xml:space="preserve">108,000.00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PHP 1,854,000.00</w:t>
            </w:r>
          </w:p>
        </w:tc>
      </w:tr>
      <w:tr>
        <w:tc>
          <w:tcPr/>
          <w:p>
            <w:pPr>
              <w:pStyle w:val="Compact"/>
              <w:jc w:val="left"/>
            </w:pPr>
            <w:r>
              <w:t xml:space="preserve">VAT (12%)</w:t>
            </w:r>
          </w:p>
        </w:tc>
        <w:tc>
          <w:tcPr/>
          <w:p>
            <w:pPr>
              <w:pStyle w:val="Compact"/>
              <w:jc w:val="left"/>
            </w:pPr>
            <w:r>
              <w:t xml:space="preserve">PHP 222,480.00</w:t>
            </w:r>
          </w:p>
        </w:tc>
      </w:tr>
      <w:tr>
        <w:tc>
          <w:tcPr/>
          <w:p>
            <w:pPr>
              <w:pStyle w:val="Compact"/>
              <w:jc w:val="left"/>
            </w:pPr>
            <w:r>
              <w:t xml:space="preserve">Withholding Tax (10%)</w:t>
            </w:r>
          </w:p>
        </w:tc>
        <w:tc>
          <w:tcPr/>
          <w:p>
            <w:pPr>
              <w:pStyle w:val="Compact"/>
              <w:jc w:val="left"/>
            </w:pPr>
            <w:r>
              <w:t xml:space="preserve">(PHP 185,400.00)</w:t>
            </w:r>
          </w:p>
        </w:tc>
      </w:tr>
      <w:tr>
        <w:tc>
          <w:tcPr/>
          <w:p>
            <w:pPr>
              <w:pStyle w:val="Compact"/>
              <w:jc w:val="left"/>
            </w:pPr>
            <w:r>
              <w:t xml:space="preserve">NET AMOUNT DUE</w:t>
            </w:r>
          </w:p>
        </w:tc>
        <w:tc>
          <w:tcPr/>
          <w:p>
            <w:pPr>
              <w:pStyle w:val="Compact"/>
              <w:jc w:val="left"/>
            </w:pPr>
            <w:r>
              <w:t xml:space="preserve">PHP 1,891,080.00</w:t>
            </w:r>
          </w:p>
        </w:tc>
      </w:tr>
    </w:tbl>
    <w:bookmarkStart w:id="24" w:name="invoice-notes-terms"/>
    <w:p>
      <w:pPr>
        <w:pStyle w:val="Heading3"/>
      </w:pPr>
      <w:r>
        <w:t xml:space="preserve">Invoice Notes &amp; Terms</w:t>
      </w:r>
    </w:p>
    <w:p>
      <w:pPr>
        <w:pStyle w:val="FirstParagraph"/>
      </w:pPr>
      <w:r>
        <w:t xml:space="preserve">This Invoice is issued by Manila Academic Solutions Inc., a duly registered corporation in the Philippines Manila, for the professional services rendered by our certified Education Administrator team. All services were performed in accordance with the terms of Service Contract No. MAS-SC-2025-0312, executed on December 20, 2024.</w:t>
      </w:r>
    </w:p>
    <w:p>
      <w:pPr>
        <w:pStyle w:val="BodyText"/>
      </w:pPr>
      <w:r>
        <w:t xml:space="preserve">The Education Administrator services described herein encompass full-spectrum academic leadership, administrative oversight, and operational management for the designated schools and educational institutions within the Philippines Manila metropolitan area. The Education Administrator was assigned on a full-time basis and reported directly to the Regional Director of DepEd Region III.</w:t>
      </w:r>
    </w:p>
    <w:p>
      <w:pPr>
        <w:pStyle w:val="BodyText"/>
      </w:pPr>
      <w:r>
        <w:t xml:space="preserve">Payment is due within thirty (30) calendar days from the date of this Invoice. Late payments shall be subject to a 1.5% monthly interest charge as stipulated in the service agreement. This Invoice is valid for one hundred eighty (180) days from the date of issuance.</w:t>
      </w:r>
    </w:p>
    <w:p>
      <w:pPr>
        <w:pStyle w:val="BodyText"/>
      </w:pPr>
      <w:r>
        <w:t xml:space="preserve">All amounts are stated in Philippine Pesos (PHP). The 12% Value Added Tax (VAT) is applied in compliance with the National Internal Revenue Code of the Philippines. The 10% withholding tax has been deducted as required by BIR regulations for professional services.</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BDO Unibank, Inc. – Makati Main Branch, Philippines Manila</w:t>
      </w:r>
    </w:p>
    <w:p>
      <w:pPr>
        <w:pStyle w:val="BodyText"/>
      </w:pPr>
      <w:r>
        <w:rPr>
          <w:bCs/>
          <w:b/>
        </w:rPr>
        <w:t xml:space="preserve">Account Name:</w:t>
      </w:r>
      <w:r>
        <w:t xml:space="preserve"> </w:t>
      </w:r>
      <w:r>
        <w:t xml:space="preserve">Manila Academic Solutions Inc.</w:t>
      </w:r>
    </w:p>
    <w:p>
      <w:pPr>
        <w:pStyle w:val="BodyText"/>
      </w:pPr>
      <w:r>
        <w:rPr>
          <w:bCs/>
          <w:b/>
        </w:rPr>
        <w:t xml:space="preserve">Account Number:</w:t>
      </w:r>
      <w:r>
        <w:t xml:space="preserve"> </w:t>
      </w:r>
      <w:r>
        <w:t xml:space="preserve">001234567890</w:t>
      </w:r>
    </w:p>
    <w:p>
      <w:pPr>
        <w:pStyle w:val="BodyText"/>
      </w:pPr>
      <w:r>
        <w:rPr>
          <w:bCs/>
          <w:b/>
        </w:rPr>
        <w:t xml:space="preserve">SWIFT Code:</w:t>
      </w:r>
      <w:r>
        <w:t xml:space="preserve"> </w:t>
      </w:r>
      <w:r>
        <w:t xml:space="preserve">BDOUPHMM</w:t>
      </w:r>
    </w:p>
    <w:p>
      <w:pPr>
        <w:pStyle w:val="BodyText"/>
      </w:pPr>
      <w:r>
        <w:rPr>
          <w:bCs/>
          <w:b/>
        </w:rPr>
        <w:t xml:space="preserve">Reference No.:</w:t>
      </w:r>
      <w:r>
        <w:t xml:space="preserve"> </w:t>
      </w:r>
      <w:r>
        <w:t xml:space="preserve">Please use Invoice No. MAS-2025-00847 as your payment reference.</w:t>
      </w:r>
    </w:p>
    <w:p>
      <w:pPr>
        <w:pStyle w:val="BodyText"/>
      </w:pPr>
      <w:r>
        <w:rPr>
          <w:bCs/>
          <w:b/>
        </w:rPr>
        <w:t xml:space="preserve">Check Payments:</w:t>
      </w:r>
      <w:r>
        <w:t xml:space="preserve"> </w:t>
      </w:r>
      <w:r>
        <w:t xml:space="preserve">Made payable to "Manila Academic Solutions Inc." and delivered to our billing office at One Ayala Center, Makati City, Philippines Manila.</w:t>
      </w:r>
    </w:p>
    <w:bookmarkEnd w:id="25"/>
    <w:p>
      <w:pPr>
        <w:pStyle w:val="BodyText"/>
      </w:pPr>
      <w:r>
        <w:rPr>
          <w:bCs/>
          <w:b/>
        </w:rPr>
        <w:t xml:space="preserve">Manila Academic Solutions Inc.</w:t>
      </w:r>
      <w:r>
        <w:t xml:space="preserve"> </w:t>
      </w:r>
      <w:r>
        <w:t xml:space="preserve">| 128th Floor, One Ayala Center, Makati City, Philippines Manila, Metro Manila 1200</w:t>
      </w:r>
    </w:p>
    <w:p>
      <w:pPr>
        <w:pStyle w:val="BodyText"/>
      </w:pPr>
      <w:r>
        <w:t xml:space="preserve">Registered with the Securities and Exchange Commission (SEC) | BIR-Registered | DTI-Registered</w:t>
      </w:r>
    </w:p>
    <w:p>
      <w:pPr>
        <w:pStyle w:val="BodyText"/>
      </w:pPr>
      <w:r>
        <w:t xml:space="preserve">This Invoice was generated electronically and is valid without a physical signature. For inquiries regarding this Invoice, please contact our billing department at billing@manilaacademicsolutions.ph or +63 (2) 8888-4521.</w:t>
      </w:r>
    </w:p>
    <w:p>
      <w:pPr>
        <w:pStyle w:val="BodyText"/>
      </w:pPr>
      <w:r>
        <w:t xml:space="preserve">© 2025 Manila Academic Solutions Inc. All Rights Reserved. | Invoice MAS-2025-00847 | 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Philippines Manila</dc:title>
  <dc:creator/>
  <dc:language>en</dc:language>
  <cp:keywords/>
  <dcterms:created xsi:type="dcterms:W3CDTF">2026-10-10T06:24:19Z</dcterms:created>
  <dcterms:modified xsi:type="dcterms:W3CDTF">2026-10-10T06:24:19Z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