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moscow-educational-services-ltd."/>
    <w:p>
      <w:pPr>
        <w:pStyle w:val="Heading1"/>
      </w:pPr>
      <w:r>
        <w:t xml:space="preserve">Moscow Educational Services Ltd.</w:t>
      </w:r>
    </w:p>
    <w:p>
      <w:pPr>
        <w:pStyle w:val="FirstParagraph"/>
      </w:pPr>
      <w:r>
        <w:t xml:space="preserve">12 Tverskaya Street, Building 4, Floor 7</w:t>
      </w:r>
    </w:p>
    <w:p>
      <w:pPr>
        <w:pStyle w:val="BodyText"/>
      </w:pPr>
      <w:r>
        <w:t xml:space="preserve">Moscow, Russia Moscow 125009</w:t>
      </w:r>
    </w:p>
    <w:p>
      <w:pPr>
        <w:pStyle w:val="BodyText"/>
      </w:pPr>
      <w:r>
        <w:t xml:space="preserve">Tax ID (INN): 7701234567</w:t>
      </w:r>
    </w:p>
    <w:p>
      <w:pPr>
        <w:pStyle w:val="BodyText"/>
      </w:pPr>
      <w:r>
        <w:t xml:space="preserve">Phone: +7 (495) 123-4567</w:t>
      </w:r>
    </w:p>
    <w:p>
      <w:pPr>
        <w:pStyle w:val="BodyText"/>
      </w:pPr>
      <w:r>
        <w:t xml:space="preserve">Email: billing@moscoweduservices.ru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w:t>
      </w:r>
      <w:r>
        <w:t xml:space="preserve"> </w:t>
      </w:r>
      <w:r>
        <w:t xml:space="preserve">St. Petersburg International Academy</w:t>
      </w:r>
    </w:p>
    <w:p>
      <w:pPr>
        <w:pStyle w:val="BodyText"/>
      </w:pPr>
      <w:r>
        <w:rPr>
          <w:bCs/>
          <w:b/>
        </w:rPr>
        <w:t xml:space="preserve">Attn:</w:t>
      </w:r>
      <w:r>
        <w:t xml:space="preserve"> </w:t>
      </w:r>
      <w:r>
        <w:t xml:space="preserve">Dr. Elena Volkova, Director of Operations</w:t>
      </w:r>
    </w:p>
    <w:p>
      <w:pPr>
        <w:pStyle w:val="BodyText"/>
      </w:pPr>
      <w:r>
        <w:rPr>
          <w:bCs/>
          <w:b/>
        </w:rPr>
        <w:t xml:space="preserve">Address:</w:t>
      </w:r>
      <w:r>
        <w:t xml:space="preserve"> </w:t>
      </w:r>
      <w:r>
        <w:t xml:space="preserve">45 Nevsky Prospect, St. Petersburg, Russia 191025</w:t>
      </w:r>
    </w:p>
    <w:p>
      <w:pPr>
        <w:pStyle w:val="BodyText"/>
      </w:pPr>
      <w:r>
        <w:rPr>
          <w:bCs/>
          <w:b/>
        </w:rPr>
        <w:t xml:space="preserve">Tax ID (INN):</w:t>
      </w:r>
      <w:r>
        <w:t xml:space="preserve"> </w:t>
      </w:r>
      <w:r>
        <w:t xml:space="preserve">7809876543</w:t>
      </w:r>
    </w:p>
    <w:p>
      <w:pPr>
        <w:pStyle w:val="BodyText"/>
      </w:pPr>
      <w:r>
        <w:rPr>
          <w:bCs/>
          <w:b/>
        </w:rPr>
        <w:t xml:space="preserve">Email:</w:t>
      </w:r>
      <w:r>
        <w:t xml:space="preserve"> </w:t>
      </w:r>
      <w:r>
        <w:t xml:space="preserve">e.volkova@spbiacademy.ru</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Education Administrator</w:t>
      </w:r>
    </w:p>
    <w:p>
      <w:pPr>
        <w:pStyle w:val="BodyText"/>
      </w:pPr>
      <w:r>
        <w:rPr>
          <w:bCs/>
          <w:b/>
        </w:rPr>
        <w:t xml:space="preserve">Name:</w:t>
      </w:r>
      <w:r>
        <w:t xml:space="preserve"> </w:t>
      </w:r>
      <w:r>
        <w:t xml:space="preserve">Mr. Dmitry Kuznetsov</w:t>
      </w:r>
    </w:p>
    <w:p>
      <w:pPr>
        <w:pStyle w:val="BodyText"/>
      </w:pPr>
      <w:r>
        <w:rPr>
          <w:bCs/>
          <w:b/>
        </w:rPr>
        <w:t xml:space="preserve">Position:</w:t>
      </w:r>
      <w:r>
        <w:t xml:space="preserve"> </w:t>
      </w:r>
      <w:r>
        <w:t xml:space="preserve">Senior Education Administrator</w:t>
      </w:r>
    </w:p>
    <w:p>
      <w:pPr>
        <w:pStyle w:val="BodyText"/>
      </w:pPr>
      <w:r>
        <w:rPr>
          <w:bCs/>
          <w:b/>
        </w:rPr>
        <w:t xml:space="preserve">License No.:</w:t>
      </w:r>
      <w:r>
        <w:t xml:space="preserve"> </w:t>
      </w:r>
      <w:r>
        <w:t xml:space="preserve">EDU-RU-2024-00382</w:t>
      </w:r>
    </w:p>
    <w:p>
      <w:pPr>
        <w:pStyle w:val="BodyText"/>
      </w:pPr>
      <w:r>
        <w:rPr>
          <w:bCs/>
          <w:b/>
        </w:rPr>
        <w:t xml:space="preserve">Base Location:</w:t>
      </w:r>
      <w:r>
        <w:t xml:space="preserve"> </w:t>
      </w:r>
      <w:r>
        <w:t xml:space="preserve">Russia Moscow</w:t>
      </w:r>
    </w:p>
    <w:p>
      <w:pPr>
        <w:pStyle w:val="BodyText"/>
      </w:pPr>
      <w:r>
        <w:rPr>
          <w:bCs/>
          <w:b/>
        </w:rPr>
        <w:t xml:space="preserve">Contract Ref:</w:t>
      </w:r>
      <w:r>
        <w:t xml:space="preserve"> </w:t>
      </w:r>
      <w:r>
        <w:t xml:space="preserve">CTR-2025-EDU-112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(RUB)</w:t>
            </w:r>
          </w:p>
        </w:tc>
        <w:tc>
          <w:tcPr/>
          <w:p>
            <w:pPr>
              <w:pStyle w:val="Compact"/>
              <w:jc w:val="left"/>
            </w:pPr>
            <w:r>
              <w:t xml:space="preserve">Qty</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Education Administrator oversight of academic curriculum development and faculty coordination for the Spring 2025 semester. Includes weekly progress reports submitted to the Director of Operations and alignment with the Federal State Educational Standards of Russia Moscow regulatory framework.</w:t>
            </w:r>
          </w:p>
        </w:tc>
        <w:tc>
          <w:tcPr/>
          <w:p>
            <w:pPr>
              <w:pStyle w:val="Compact"/>
              <w:jc w:val="left"/>
            </w:pPr>
            <w:r>
              <w:t xml:space="preserve">Jan – Mar 2025</w:t>
            </w:r>
          </w:p>
        </w:tc>
        <w:tc>
          <w:tcPr/>
          <w:p>
            <w:pPr>
              <w:pStyle w:val="Compact"/>
              <w:jc w:val="left"/>
            </w:pPr>
            <w:r>
              <w:t xml:space="preserve">85,000</w:t>
            </w:r>
          </w:p>
        </w:tc>
        <w:tc>
          <w:tcPr/>
          <w:p>
            <w:pPr>
              <w:pStyle w:val="Compact"/>
              <w:jc w:val="left"/>
            </w:pPr>
            <w:r>
              <w:t xml:space="preserve">3</w:t>
            </w:r>
          </w:p>
        </w:tc>
        <w:tc>
          <w:tcPr/>
          <w:p>
            <w:pPr>
              <w:pStyle w:val="Compact"/>
              <w:jc w:val="left"/>
            </w:pPr>
            <w:r>
              <w:t xml:space="preserve">255,000.00</w:t>
            </w:r>
          </w:p>
        </w:tc>
      </w:tr>
      <w:tr>
        <w:tc>
          <w:tcPr/>
          <w:p>
            <w:pPr>
              <w:pStyle w:val="Compact"/>
              <w:jc w:val="left"/>
            </w:pPr>
            <w:r>
              <w:t xml:space="preserve">2</w:t>
            </w:r>
          </w:p>
        </w:tc>
        <w:tc>
          <w:tcPr/>
          <w:p>
            <w:pPr>
              <w:pStyle w:val="Compact"/>
              <w:jc w:val="left"/>
            </w:pPr>
            <w:r>
              <w:t xml:space="preserve">Administration of student enrollment records, transcript processing, and credential verification for 1,200 enrolled students. The Education Administrator managed all documentation in compliance with Russian Federal Law No. 273-FZ on Education and maintained the central database hosted in Russia Moscow.</w:t>
            </w:r>
          </w:p>
        </w:tc>
        <w:tc>
          <w:tcPr/>
          <w:p>
            <w:pPr>
              <w:pStyle w:val="Compact"/>
              <w:jc w:val="left"/>
            </w:pPr>
            <w:r>
              <w:t xml:space="preserve">Jan – Jun 2025</w:t>
            </w:r>
          </w:p>
        </w:tc>
        <w:tc>
          <w:tcPr/>
          <w:p>
            <w:pPr>
              <w:pStyle w:val="Compact"/>
              <w:jc w:val="left"/>
            </w:pPr>
            <w:r>
              <w:t xml:space="preserve">120,000</w:t>
            </w:r>
          </w:p>
        </w:tc>
        <w:tc>
          <w:tcPr/>
          <w:p>
            <w:pPr>
              <w:pStyle w:val="Compact"/>
              <w:jc w:val="left"/>
            </w:pPr>
            <w:r>
              <w:t xml:space="preserve">6</w:t>
            </w:r>
          </w:p>
        </w:tc>
        <w:tc>
          <w:tcPr/>
          <w:p>
            <w:pPr>
              <w:pStyle w:val="Compact"/>
              <w:jc w:val="left"/>
            </w:pPr>
            <w:r>
              <w:t xml:space="preserve">720,000.00</w:t>
            </w:r>
          </w:p>
        </w:tc>
      </w:tr>
      <w:tr>
        <w:tc>
          <w:tcPr/>
          <w:p>
            <w:pPr>
              <w:pStyle w:val="Compact"/>
              <w:jc w:val="left"/>
            </w:pPr>
            <w:r>
              <w:t xml:space="preserve">3</w:t>
            </w:r>
          </w:p>
        </w:tc>
        <w:tc>
          <w:tcPr/>
          <w:p>
            <w:pPr>
              <w:pStyle w:val="Compact"/>
              <w:jc w:val="left"/>
            </w:pPr>
            <w:r>
              <w:t xml:space="preserve">Coordination of inter-institutional academic partnerships and exchange program logistics. The Education Administrator facilitated agreements with four partner universities across Russia Moscow and the broader Russian Federation, including scheduling, visa documentation support, and academic credit transfer arrangements.</w:t>
            </w:r>
          </w:p>
        </w:tc>
        <w:tc>
          <w:tcPr/>
          <w:p>
            <w:pPr>
              <w:pStyle w:val="Compact"/>
              <w:jc w:val="left"/>
            </w:pPr>
            <w:r>
              <w:t xml:space="preserve">Feb – May 2025</w:t>
            </w:r>
          </w:p>
        </w:tc>
        <w:tc>
          <w:tcPr/>
          <w:p>
            <w:pPr>
              <w:pStyle w:val="Compact"/>
              <w:jc w:val="left"/>
            </w:pPr>
            <w:r>
              <w:t xml:space="preserve">95,000</w:t>
            </w:r>
          </w:p>
        </w:tc>
        <w:tc>
          <w:tcPr/>
          <w:p>
            <w:pPr>
              <w:pStyle w:val="Compact"/>
              <w:jc w:val="left"/>
            </w:pPr>
            <w:r>
              <w:t xml:space="preserve">4</w:t>
            </w:r>
          </w:p>
        </w:tc>
        <w:tc>
          <w:tcPr/>
          <w:p>
            <w:pPr>
              <w:pStyle w:val="Compact"/>
              <w:jc w:val="left"/>
            </w:pPr>
            <w:r>
              <w:t xml:space="preserve">380,000.00</w:t>
            </w:r>
          </w:p>
        </w:tc>
      </w:tr>
      <w:tr>
        <w:tc>
          <w:tcPr/>
          <w:p>
            <w:pPr>
              <w:pStyle w:val="Compact"/>
              <w:jc w:val="left"/>
            </w:pPr>
            <w:r>
              <w:t xml:space="preserve">4</w:t>
            </w:r>
          </w:p>
        </w:tc>
        <w:tc>
          <w:tcPr/>
          <w:p>
            <w:pPr>
              <w:pStyle w:val="Compact"/>
              <w:jc w:val="left"/>
            </w:pPr>
            <w:r>
              <w:t xml:space="preserve">Preparation and submission of institutional accreditation reports to the Ministry of Education and Science of the Russian Federation. The Education Administrator compiled 340 pages of supporting documentation, statistical analyses, and self-assessment narratives required for the 2025 accreditation cycle in Russia Moscow.</w:t>
            </w:r>
          </w:p>
        </w:tc>
        <w:tc>
          <w:tcPr/>
          <w:p>
            <w:pPr>
              <w:pStyle w:val="Compact"/>
              <w:jc w:val="left"/>
            </w:pPr>
            <w:r>
              <w:t xml:space="preserve">Mar – Jun 2025</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Management of the annual academic calendar, examination scheduling, and faculty workload distribution. The Education Administrator ensured all timetables complied with the 40-hour weekly instructional standard mandated for institutions operating in Russia Moscow and produced 12 revised schedule documents.</w:t>
            </w:r>
          </w:p>
        </w:tc>
        <w:tc>
          <w:tcPr/>
          <w:p>
            <w:pPr>
              <w:pStyle w:val="Compact"/>
              <w:jc w:val="left"/>
            </w:pPr>
            <w:r>
              <w:t xml:space="preserve">Jan – Jun 2025</w:t>
            </w:r>
          </w:p>
        </w:tc>
        <w:tc>
          <w:tcPr/>
          <w:p>
            <w:pPr>
              <w:pStyle w:val="Compact"/>
              <w:jc w:val="left"/>
            </w:pPr>
            <w:r>
              <w:t xml:space="preserve">60,000</w:t>
            </w:r>
          </w:p>
        </w:tc>
        <w:tc>
          <w:tcPr/>
          <w:p>
            <w:pPr>
              <w:pStyle w:val="Compact"/>
              <w:jc w:val="left"/>
            </w:pPr>
            <w:r>
              <w:t xml:space="preserve">6</w:t>
            </w:r>
          </w:p>
        </w:tc>
        <w:tc>
          <w:tcPr/>
          <w:p>
            <w:pPr>
              <w:pStyle w:val="Compact"/>
              <w:jc w:val="left"/>
            </w:pPr>
            <w:r>
              <w:t xml:space="preserve">360,000.00</w:t>
            </w:r>
          </w:p>
        </w:tc>
      </w:tr>
      <w:tr>
        <w:tc>
          <w:tcPr/>
          <w:p>
            <w:pPr>
              <w:pStyle w:val="Compact"/>
              <w:jc w:val="left"/>
            </w:pPr>
            <w:r>
              <w:t xml:space="preserve">6</w:t>
            </w:r>
          </w:p>
        </w:tc>
        <w:tc>
          <w:tcPr/>
          <w:p>
            <w:pPr>
              <w:pStyle w:val="Compact"/>
              <w:jc w:val="left"/>
            </w:pPr>
            <w:r>
              <w:t xml:space="preserve">Emergency response and administrative continuity planning. The Education Administrator developed and implemented a business continuity protocol for academic operations, including remote learning transition procedures and data backup strategies for all institutional records maintained in the Russia Moscow headquarters.</w:t>
            </w:r>
          </w:p>
        </w:tc>
        <w:tc>
          <w:tcPr/>
          <w:p>
            <w:pPr>
              <w:pStyle w:val="Compact"/>
              <w:jc w:val="left"/>
            </w:pPr>
            <w:r>
              <w:t xml:space="preserve">Apr 2025</w:t>
            </w:r>
          </w:p>
        </w:tc>
        <w:tc>
          <w:tcPr/>
          <w:p>
            <w:pPr>
              <w:pStyle w:val="Compact"/>
              <w:jc w:val="left"/>
            </w:pPr>
            <w:r>
              <w:t xml:space="preserve">75,000</w:t>
            </w:r>
          </w:p>
        </w:tc>
        <w:tc>
          <w:tcPr/>
          <w:p>
            <w:pPr>
              <w:pStyle w:val="Compact"/>
              <w:jc w:val="left"/>
            </w:pPr>
            <w:r>
              <w:t xml:space="preserve">1</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1,940,000.00 RUB</w:t>
            </w:r>
          </w:p>
        </w:tc>
      </w:tr>
      <w:tr>
        <w:tc>
          <w:tcPr/>
          <w:p>
            <w:pPr>
              <w:pStyle w:val="Compact"/>
              <w:jc w:val="left"/>
            </w:pPr>
            <w:r>
              <w:t xml:space="preserve">VAT (20%)</w:t>
            </w:r>
          </w:p>
        </w:tc>
        <w:tc>
          <w:tcPr/>
          <w:p>
            <w:pPr>
              <w:pStyle w:val="Compact"/>
              <w:jc w:val="right"/>
            </w:pPr>
            <w:r>
              <w:t xml:space="preserve">388,000.00 RUB</w:t>
            </w:r>
          </w:p>
        </w:tc>
      </w:tr>
      <w:tr>
        <w:tc>
          <w:tcPr/>
          <w:p>
            <w:pPr>
              <w:pStyle w:val="Compact"/>
              <w:jc w:val="left"/>
            </w:pPr>
            <w:r>
              <w:t xml:space="preserve">Administrative Surcharge (3%)</w:t>
            </w:r>
          </w:p>
        </w:tc>
        <w:tc>
          <w:tcPr/>
          <w:p>
            <w:pPr>
              <w:pStyle w:val="Compact"/>
              <w:jc w:val="right"/>
            </w:pPr>
            <w:r>
              <w:t xml:space="preserve">58,200.00 RUB</w:t>
            </w:r>
          </w:p>
        </w:tc>
      </w:tr>
      <w:tr>
        <w:tc>
          <w:tcPr/>
          <w:p>
            <w:pPr>
              <w:pStyle w:val="Compact"/>
              <w:jc w:val="left"/>
            </w:pPr>
            <w:r>
              <w:t xml:space="preserve">TOTAL DUE</w:t>
            </w:r>
          </w:p>
        </w:tc>
        <w:tc>
          <w:tcPr/>
          <w:p>
            <w:pPr>
              <w:pStyle w:val="Compact"/>
              <w:jc w:val="right"/>
            </w:pPr>
            <w:r>
              <w:t xml:space="preserve">2,386,200.00 RUB</w:t>
            </w:r>
          </w:p>
        </w:tc>
      </w:tr>
    </w:tbl>
    <w:bookmarkStart w:id="24" w:name="payment-terms-and-instructions"/>
    <w:p>
      <w:pPr>
        <w:pStyle w:val="Heading3"/>
      </w:pPr>
      <w:r>
        <w:t xml:space="preserve">Payment Terms and Instructions</w:t>
      </w:r>
    </w:p>
    <w:p>
      <w:pPr>
        <w:pStyle w:val="FirstParagraph"/>
      </w:pPr>
      <w:r>
        <w:rPr>
          <w:bCs/>
          <w:b/>
        </w:rPr>
        <w:t xml:space="preserve">Payment Due:</w:t>
      </w:r>
      <w:r>
        <w:t xml:space="preserve"> </w:t>
      </w:r>
      <w:r>
        <w:t xml:space="preserve">Within 15 calendar days from the date of this Invoice (by 30 June 2025).</w:t>
      </w:r>
    </w:p>
    <w:p>
      <w:pPr>
        <w:pStyle w:val="BodyText"/>
      </w:pPr>
      <w:r>
        <w:rPr>
          <w:bCs/>
          <w:b/>
        </w:rPr>
        <w:t xml:space="preserve">Payment Method:</w:t>
      </w:r>
      <w:r>
        <w:t xml:space="preserve"> </w:t>
      </w:r>
      <w:r>
        <w:t xml:space="preserve">Bank transfer to the account of Moscow Educational Services Ltd.</w:t>
      </w:r>
    </w:p>
    <w:p>
      <w:pPr>
        <w:pStyle w:val="BodyText"/>
      </w:pPr>
      <w:r>
        <w:rPr>
          <w:bCs/>
          <w:b/>
        </w:rPr>
        <w:t xml:space="preserve">Bank:</w:t>
      </w:r>
      <w:r>
        <w:t xml:space="preserve"> </w:t>
      </w:r>
      <w:r>
        <w:t xml:space="preserve">Sberbank, Moscow Branch</w:t>
      </w:r>
    </w:p>
    <w:p>
      <w:pPr>
        <w:pStyle w:val="BodyText"/>
      </w:pPr>
      <w:r>
        <w:rPr>
          <w:bCs/>
          <w:b/>
        </w:rPr>
        <w:t xml:space="preserve">Account Number (R/S):</w:t>
      </w:r>
      <w:r>
        <w:t xml:space="preserve"> </w:t>
      </w:r>
      <w:r>
        <w:t xml:space="preserve">40702810400000012345</w:t>
      </w:r>
    </w:p>
    <w:p>
      <w:pPr>
        <w:pStyle w:val="BodyText"/>
      </w:pPr>
      <w:r>
        <w:rPr>
          <w:bCs/>
          <w:b/>
        </w:rPr>
        <w:t xml:space="preserve">Corr. Account (K/S):</w:t>
      </w:r>
      <w:r>
        <w:t xml:space="preserve"> </w:t>
      </w:r>
      <w:r>
        <w:t xml:space="preserve">30101810400000000606</w:t>
      </w:r>
    </w:p>
    <w:p>
      <w:pPr>
        <w:pStyle w:val="BodyText"/>
      </w:pPr>
      <w:r>
        <w:rPr>
          <w:bCs/>
          <w:b/>
        </w:rPr>
        <w:t xml:space="preserve">BIC/SWIFT:</w:t>
      </w:r>
      <w:r>
        <w:t xml:space="preserve"> </w:t>
      </w:r>
      <w:r>
        <w:t xml:space="preserve">SABRRUMM</w:t>
      </w:r>
    </w:p>
    <w:p>
      <w:pPr>
        <w:pStyle w:val="BodyText"/>
      </w:pPr>
      <w:r>
        <w:rPr>
          <w:bCs/>
          <w:b/>
        </w:rPr>
        <w:t xml:space="preserve">Reference:</w:t>
      </w:r>
      <w:r>
        <w:t xml:space="preserve"> </w:t>
      </w:r>
      <w:r>
        <w:t xml:space="preserve">INV-2025-0847 / Education Administrator Services / CTR-2025-EDU-112</w:t>
      </w:r>
    </w:p>
    <w:p>
      <w:pPr>
        <w:pStyle w:val="BodyText"/>
      </w:pPr>
      <w:r>
        <w:rPr>
          <w:bCs/>
          <w:b/>
        </w:rPr>
        <w:t xml:space="preserve">Late Payment Penalty:</w:t>
      </w:r>
      <w:r>
        <w:t xml:space="preserve"> </w:t>
      </w:r>
      <w:r>
        <w:t xml:space="preserve">0.1% per calendar day on the outstanding balance, in accordance with Article 317.1 of the Civil Code of the Russian Federation.</w:t>
      </w:r>
    </w:p>
    <w:bookmarkEnd w:id="24"/>
    <w:bookmarkStart w:id="25" w:name="important-notes-regarding-this-invoice"/>
    <w:p>
      <w:pPr>
        <w:pStyle w:val="Heading3"/>
      </w:pPr>
      <w:r>
        <w:t xml:space="preserve">Important Notes Regarding This Invoice</w:t>
      </w:r>
    </w:p>
    <w:p>
      <w:pPr>
        <w:numPr>
          <w:ilvl w:val="0"/>
          <w:numId w:val="1001"/>
        </w:numPr>
        <w:pStyle w:val="Compact"/>
      </w:pPr>
      <w:r>
        <w:t xml:space="preserve">This Invoice covers all services rendered by the Education Administrator under Contract Reference CTR-2025-EDU-112 for the period January through June 2025. No additional charges beyond those itemized above shall apply.</w:t>
      </w:r>
    </w:p>
    <w:p>
      <w:pPr>
        <w:numPr>
          <w:ilvl w:val="0"/>
          <w:numId w:val="1001"/>
        </w:numPr>
        <w:pStyle w:val="Compact"/>
      </w:pPr>
      <w:r>
        <w:t xml:space="preserve">All services were performed in full compliance with the regulatory standards governing educational institutions in Russia Moscow, including but not limited to the requirements of the Federal Law on Education (273-FZ) and the Ministry of Education and Science directives effective as of 1 January 2025.</w:t>
      </w:r>
    </w:p>
    <w:p>
      <w:pPr>
        <w:numPr>
          <w:ilvl w:val="0"/>
          <w:numId w:val="1001"/>
        </w:numPr>
        <w:pStyle w:val="Compact"/>
      </w:pPr>
      <w:r>
        <w:t xml:space="preserve">The Education Administrator, Mr. Dmitry Kuznetsov, holds a valid professional license (EDU-RU-2024-00382) issued by the Moscow City Department of Education, authorizing him to perform administrative oversight functions for accredited educational institutions within the Russia Moscow jurisdiction.</w:t>
      </w:r>
    </w:p>
    <w:p>
      <w:pPr>
        <w:numPr>
          <w:ilvl w:val="0"/>
          <w:numId w:val="1001"/>
        </w:numPr>
        <w:pStyle w:val="Compact"/>
      </w:pPr>
      <w:r>
        <w:t xml:space="preserve">This Invoice is issued in English for the convenience of the client. In the event of any discrepancy between this English-language Invoice and the Russian-language original, the Russian-language version shall prevail as the legally binding document under Russian law.</w:t>
      </w:r>
    </w:p>
    <w:p>
      <w:pPr>
        <w:numPr>
          <w:ilvl w:val="0"/>
          <w:numId w:val="1001"/>
        </w:numPr>
        <w:pStyle w:val="Compact"/>
      </w:pPr>
      <w:r>
        <w:t xml:space="preserve">Payment must be made in Russian Rubles (RUB). International wire transfers are accepted; however, the client is responsible for any intermediary bank fees. The exchange rate for foreign currency conversions shall be the Central Bank of Russia rate on the date of payment.</w:t>
      </w:r>
    </w:p>
    <w:p>
      <w:pPr>
        <w:numPr>
          <w:ilvl w:val="0"/>
          <w:numId w:val="1001"/>
        </w:numPr>
        <w:pStyle w:val="Compact"/>
      </w:pPr>
      <w:r>
        <w:t xml:space="preserve">Retain a copy of this Invoice for your institutional records. The original signed Invoice and the corresponding Act of Acceptance (Акт выполненных работ) must be submitted to the accounting department of Moscow Educational Services Ltd. within 5 business days of payment confirmation.</w:t>
      </w:r>
    </w:p>
    <w:bookmarkEnd w:id="25"/>
    <w:p>
      <w:pPr>
        <w:pStyle w:val="FirstParagraph"/>
      </w:pPr>
      <w:r>
        <w:rPr>
          <w:bCs/>
          <w:b/>
        </w:rPr>
        <w:t xml:space="preserve">Moscow Educational Services Ltd.</w:t>
      </w:r>
      <w:r>
        <w:t xml:space="preserve"> </w:t>
      </w:r>
      <w:r>
        <w:t xml:space="preserve">| 12 Tverskaya Street, Building 4, Floor 7, Moscow, Russia Moscow 125009</w:t>
      </w:r>
    </w:p>
    <w:p>
      <w:pPr>
        <w:pStyle w:val="BodyText"/>
      </w:pPr>
      <w:r>
        <w:t xml:space="preserve">Tax ID (INN): 7701234567 | KPP: 770101001 | OGRN: 1207700123456</w:t>
      </w:r>
    </w:p>
    <w:p>
      <w:pPr>
        <w:pStyle w:val="BodyText"/>
      </w:pPr>
      <w:r>
        <w:t xml:space="preserve">This Invoice was generated electronically and is valid without a physical signature in accordance with Federal Law No. 63-FZ on Electronic Signatures.</w:t>
      </w:r>
    </w:p>
    <w:p>
      <w:pPr>
        <w:pStyle w:val="BodyText"/>
      </w:pPr>
      <w:r>
        <w:t xml:space="preserve">For inquiries regarding this Invoice, please contact: billing@moscoweduservices.ru | +7 (495) 123-4567, ext. 204</w:t>
      </w:r>
    </w:p>
    <w:p>
      <w:pPr>
        <w:pStyle w:val="BodyText"/>
      </w:pPr>
      <w:r>
        <w:t xml:space="preserve">© 2025 Moscow Educational Services Ltd. All rights reserved. Invoice INV-2025-0847. Education Administrator Services.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Russia Moscow</dc:title>
  <dc:creator/>
  <dc:language>en</dc:language>
  <cp:keywords/>
  <dcterms:created xsi:type="dcterms:W3CDTF">2026-10-10T06:29:06Z</dcterms:created>
  <dcterms:modified xsi:type="dcterms:W3CDTF">2026-10-10T06:29:06Z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