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Xbe260a1a65239ec449114f4c240084ce3549664"/>
    <w:p>
      <w:pPr>
        <w:pStyle w:val="Heading1"/>
      </w:pPr>
      <w:r>
        <w:t xml:space="preserve">Ankara Education Administration Services Ltd.</w:t>
      </w:r>
    </w:p>
    <w:p>
      <w:pPr>
        <w:pStyle w:val="FirstParagraph"/>
      </w:pPr>
      <w:r>
        <w:t xml:space="preserve">Kızılay Mah. Atatürk Bulvarı No: 142/7</w:t>
      </w:r>
    </w:p>
    <w:p>
      <w:pPr>
        <w:pStyle w:val="BodyText"/>
      </w:pPr>
      <w:r>
        <w:t xml:space="preserve">06510 Çankaya, Ankara, Turkey</w:t>
      </w:r>
    </w:p>
    <w:p>
      <w:pPr>
        <w:pStyle w:val="BodyText"/>
      </w:pPr>
      <w:r>
        <w:t xml:space="preserve">Tax ID (VKN): 1234567890</w:t>
      </w:r>
    </w:p>
    <w:p>
      <w:pPr>
        <w:pStyle w:val="BodyText"/>
      </w:pPr>
      <w:r>
        <w:t xml:space="preserve">Tel: +90 312 456 7890 | Email: billing@ankaraeduadmin.com.tr</w:t>
      </w:r>
    </w:p>
    <w:p>
      <w:pPr>
        <w:pStyle w:val="BodyText"/>
      </w:pPr>
      <w:r>
        <w:t xml:space="preserve">Education Administrator – Turkey Ankara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Turkish Lira (TRY)</w:t>
      </w:r>
    </w:p>
    <w:bookmarkEnd w:id="21"/>
    <w:bookmarkStart w:id="22" w:name="bill-to"/>
    <w:p>
      <w:pPr>
        <w:pStyle w:val="Heading3"/>
      </w:pPr>
      <w:r>
        <w:t xml:space="preserve">Bill To</w:t>
      </w:r>
    </w:p>
    <w:p>
      <w:pPr>
        <w:pStyle w:val="FirstParagraph"/>
      </w:pPr>
      <w:r>
        <w:rPr>
          <w:bCs/>
          <w:b/>
        </w:rPr>
        <w:t xml:space="preserve">Ankara Metropolitan Municipality</w:t>
      </w:r>
    </w:p>
    <w:p>
      <w:pPr>
        <w:pStyle w:val="BodyText"/>
      </w:pPr>
      <w:r>
        <w:t xml:space="preserve">Department of Education &amp; Cultural Affairs</w:t>
      </w:r>
    </w:p>
    <w:p>
      <w:pPr>
        <w:pStyle w:val="BodyText"/>
      </w:pPr>
      <w:r>
        <w:t xml:space="preserve">Ulus Mah. Cumhuriyet Cad. No: 5</w:t>
      </w:r>
    </w:p>
    <w:p>
      <w:pPr>
        <w:pStyle w:val="BodyText"/>
      </w:pPr>
      <w:r>
        <w:t xml:space="preserve">06050 Ulus, Ankara, Turkey</w:t>
      </w:r>
    </w:p>
    <w:p>
      <w:pPr>
        <w:pStyle w:val="BodyText"/>
      </w:pPr>
      <w:r>
        <w:t xml:space="preserve">Tax ID: 9876543210</w:t>
      </w:r>
    </w:p>
    <w:p>
      <w:pPr>
        <w:pStyle w:val="BodyText"/>
      </w:pPr>
      <w:r>
        <w:t xml:space="preserve">Attn: Dr. Elif Yılmaz, Director of Education</w:t>
      </w:r>
    </w:p>
    <w:bookmarkEnd w:id="22"/>
    <w:bookmarkStart w:id="23" w:name="service-provider"/>
    <w:p>
      <w:pPr>
        <w:pStyle w:val="Heading3"/>
      </w:pPr>
      <w:r>
        <w:t xml:space="preserve">Service Provider</w:t>
      </w:r>
    </w:p>
    <w:p>
      <w:pPr>
        <w:pStyle w:val="FirstParagraph"/>
      </w:pPr>
      <w:r>
        <w:rPr>
          <w:bCs/>
          <w:b/>
        </w:rPr>
        <w:t xml:space="preserve">Mr. Mehmet Kaya</w:t>
      </w:r>
    </w:p>
    <w:p>
      <w:pPr>
        <w:pStyle w:val="BodyText"/>
      </w:pPr>
      <w:r>
        <w:t xml:space="preserve">Lead Education Administrator</w:t>
      </w:r>
    </w:p>
    <w:p>
      <w:pPr>
        <w:pStyle w:val="BodyText"/>
      </w:pPr>
      <w:r>
        <w:t xml:space="preserve">Ankara Education Administration Services Ltd.</w:t>
      </w:r>
    </w:p>
    <w:p>
      <w:pPr>
        <w:pStyle w:val="BodyText"/>
      </w:pPr>
      <w:r>
        <w:t xml:space="preserve">Kızılay Mah. Atatürk Bulvarı No: 142/7</w:t>
      </w:r>
    </w:p>
    <w:p>
      <w:pPr>
        <w:pStyle w:val="BodyText"/>
      </w:pPr>
      <w:r>
        <w:t xml:space="preserve">06510 Çankaya, Ankara, Turkey</w:t>
      </w:r>
    </w:p>
    <w:p>
      <w:pPr>
        <w:pStyle w:val="BodyText"/>
      </w:pPr>
      <w:r>
        <w:t xml:space="preserve">Professional License: EAD-TR-2019-00341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curriculum coordination and academic planning for public schools in the Çankaya district of Turkey Ankara. Includes development of standardized lesson frameworks, teacher training schedules, and assessment protocols aligned with the Ministry of National Education guidelines.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Administrative oversight of 42 primary and secondary schools across Ankara, Turkey. The Education Administrator managed enrollment records, staff allocation, budget distribution, and compliance reporting to the Ankara Provincial Directorate of National Education.</w:t>
            </w:r>
          </w:p>
        </w:tc>
        <w:tc>
          <w:tcPr/>
          <w:p>
            <w:pPr>
              <w:pStyle w:val="Compact"/>
              <w:jc w:val="left"/>
            </w:pPr>
            <w:r>
              <w:t xml:space="preserve">Jan – Jun 2025</w:t>
            </w:r>
          </w:p>
        </w:tc>
        <w:tc>
          <w:tcPr/>
          <w:p>
            <w:pPr>
              <w:pStyle w:val="Compact"/>
              <w:jc w:val="left"/>
            </w:pPr>
            <w:r>
              <w:t xml:space="preserve">42 schools</w:t>
            </w:r>
          </w:p>
        </w:tc>
        <w:tc>
          <w:tcPr/>
          <w:p>
            <w:pPr>
              <w:pStyle w:val="Compact"/>
              <w:jc w:val="left"/>
            </w:pPr>
            <w:r>
              <w:t xml:space="preserve">2,400.00</w:t>
            </w:r>
          </w:p>
        </w:tc>
        <w:tc>
          <w:tcPr/>
          <w:p>
            <w:pPr>
              <w:pStyle w:val="Compact"/>
              <w:jc w:val="left"/>
            </w:pPr>
            <w:r>
              <w:t xml:space="preserve">100,800.00</w:t>
            </w:r>
          </w:p>
        </w:tc>
      </w:tr>
      <w:tr>
        <w:tc>
          <w:tcPr/>
          <w:p>
            <w:pPr>
              <w:pStyle w:val="Compact"/>
              <w:jc w:val="left"/>
            </w:pPr>
            <w:r>
              <w:t xml:space="preserve">3</w:t>
            </w:r>
          </w:p>
        </w:tc>
        <w:tc>
          <w:tcPr/>
          <w:p>
            <w:pPr>
              <w:pStyle w:val="Compact"/>
              <w:jc w:val="left"/>
            </w:pPr>
            <w:r>
              <w:t xml:space="preserve">Organization and supervision of the Turkey Ankara Regional Education Conference held at the Ankara Congress Center. The Education Administrator coordinated 120+ presenters, managed logistics, prepared proceedings, and ensured all sessions met the strategic objectives of the Ankara education policy framework.</w:t>
            </w:r>
          </w:p>
        </w:tc>
        <w:tc>
          <w:tcPr/>
          <w:p>
            <w:pPr>
              <w:pStyle w:val="Compact"/>
              <w:jc w:val="left"/>
            </w:pPr>
            <w:r>
              <w:t xml:space="preserve">12–14 Mar 2025</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Development and implementation of a digital education management system for the Ankara municipal school network. The Education Administrator led requirements gathering, vendor selection, staff onboarding, and a six-week pilot deployment across 15 schools in the Yenimahalle and Mamak districts of Turkey Ankara.</w:t>
            </w:r>
          </w:p>
        </w:tc>
        <w:tc>
          <w:tcPr/>
          <w:p>
            <w:pPr>
              <w:pStyle w:val="Compact"/>
              <w:jc w:val="left"/>
            </w:pPr>
            <w:r>
              <w:t xml:space="preserve">Feb – Apr 2025</w:t>
            </w:r>
          </w:p>
        </w:tc>
        <w:tc>
          <w:tcPr/>
          <w:p>
            <w:pPr>
              <w:pStyle w:val="Compact"/>
              <w:jc w:val="left"/>
            </w:pPr>
            <w:r>
              <w:t xml:space="preserve">1 project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Monthly performance audits and compliance inspections for all contracted schools. The Education Administrator produced 24 detailed audit reports covering financial transparency, student-to-teacher ratios, facility safety standards, and adherence to the Turkish national education law (Law No. 1739) applicable in Turkey Ankara.</w:t>
            </w:r>
          </w:p>
        </w:tc>
        <w:tc>
          <w:tcPr/>
          <w:p>
            <w:pPr>
              <w:pStyle w:val="Compact"/>
              <w:jc w:val="left"/>
            </w:pPr>
            <w:r>
              <w:t xml:space="preserve">Jan – Jun 2025</w:t>
            </w:r>
          </w:p>
        </w:tc>
        <w:tc>
          <w:tcPr/>
          <w:p>
            <w:pPr>
              <w:pStyle w:val="Compact"/>
              <w:jc w:val="left"/>
            </w:pPr>
            <w:r>
              <w:t xml:space="preserve">24 reports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6</w:t>
            </w:r>
          </w:p>
        </w:tc>
        <w:tc>
          <w:tcPr/>
          <w:p>
            <w:pPr>
              <w:pStyle w:val="Compact"/>
              <w:jc w:val="left"/>
            </w:pPr>
            <w:r>
              <w:t xml:space="preserve">Specialized consultation on inclusive education strategies for students with special educational needs in Turkey Ankara. The Education Administrator conducted 18 on-site assessments, designed individualized education plans, and trained 95 teaching staff on differentiated instruction methodologies.</w:t>
            </w:r>
          </w:p>
        </w:tc>
        <w:tc>
          <w:tcPr/>
          <w:p>
            <w:pPr>
              <w:pStyle w:val="Compact"/>
              <w:jc w:val="left"/>
            </w:pPr>
            <w:r>
              <w:t xml:space="preserve">Mar – Jun 2025</w:t>
            </w:r>
          </w:p>
        </w:tc>
        <w:tc>
          <w:tcPr/>
          <w:p>
            <w:pPr>
              <w:pStyle w:val="Compact"/>
              <w:jc w:val="left"/>
            </w:pPr>
            <w:r>
              <w:t xml:space="preserve">18 sessions</w:t>
            </w:r>
          </w:p>
        </w:tc>
        <w:tc>
          <w:tcPr/>
          <w:p>
            <w:pPr>
              <w:pStyle w:val="Compact"/>
              <w:jc w:val="left"/>
            </w:pPr>
            <w:r>
              <w:t xml:space="preserve">2,200.00</w:t>
            </w:r>
          </w:p>
        </w:tc>
        <w:tc>
          <w:tcPr/>
          <w:p>
            <w:pPr>
              <w:pStyle w:val="Compact"/>
              <w:jc w:val="left"/>
            </w:pPr>
            <w:r>
              <w:t xml:space="preserve">39,600.00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378,800.00 TRY</w:t>
            </w:r>
          </w:p>
        </w:tc>
      </w:tr>
      <w:tr>
        <w:tc>
          <w:tcPr/>
          <w:p>
            <w:pPr>
              <w:pStyle w:val="Compact"/>
              <w:jc w:val="left"/>
            </w:pPr>
            <w:r>
              <w:t xml:space="preserve">VAT (KDV) – 20%</w:t>
            </w:r>
          </w:p>
        </w:tc>
        <w:tc>
          <w:tcPr/>
          <w:p>
            <w:pPr>
              <w:pStyle w:val="Compact"/>
              <w:jc w:val="left"/>
            </w:pPr>
            <w:r>
              <w:t xml:space="preserve">75,760.00 TRY</w:t>
            </w:r>
          </w:p>
        </w:tc>
      </w:tr>
      <w:tr>
        <w:tc>
          <w:tcPr/>
          <w:p>
            <w:pPr>
              <w:pStyle w:val="Compact"/>
              <w:jc w:val="left"/>
            </w:pPr>
            <w:r>
              <w:t xml:space="preserve">Withholding Tax (Stopaj) – 5%</w:t>
            </w:r>
          </w:p>
        </w:tc>
        <w:tc>
          <w:tcPr/>
          <w:p>
            <w:pPr>
              <w:pStyle w:val="Compact"/>
              <w:jc w:val="left"/>
            </w:pPr>
            <w:r>
              <w:t xml:space="preserve">-18,940.00 TRY</w:t>
            </w:r>
          </w:p>
        </w:tc>
      </w:tr>
      <w:tr>
        <w:tc>
          <w:tcPr/>
          <w:p>
            <w:pPr>
              <w:pStyle w:val="Compact"/>
              <w:jc w:val="left"/>
            </w:pPr>
            <w:r>
              <w:t xml:space="preserve">Grand Total Due</w:t>
            </w:r>
          </w:p>
        </w:tc>
        <w:tc>
          <w:tcPr/>
          <w:p>
            <w:pPr>
              <w:pStyle w:val="Compact"/>
              <w:jc w:val="left"/>
            </w:pPr>
            <w:r>
              <w:t xml:space="preserve">335,620.00 TRY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Ankara Education Administration Services Ltd.</w:t>
      </w:r>
    </w:p>
    <w:p>
      <w:pPr>
        <w:pStyle w:val="BodyText"/>
      </w:pPr>
      <w:r>
        <w:rPr>
          <w:bCs/>
          <w:b/>
        </w:rPr>
        <w:t xml:space="preserve">IBAN:</w:t>
      </w:r>
      <w:r>
        <w:t xml:space="preserve"> </w:t>
      </w:r>
      <w:r>
        <w:t xml:space="preserve">TR12 0001 0000 1234 5678 9012 34</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Please cite Invoice No. INV-2025-ANK-00472 in the payment memo.</w:t>
      </w:r>
    </w:p>
    <w:p>
      <w:pPr>
        <w:pStyle w:val="BodyText"/>
      </w:pPr>
      <w:r>
        <w:rPr>
          <w:bCs/>
          <w:b/>
        </w:rPr>
        <w:t xml:space="preserve">Due Date:</w:t>
      </w:r>
      <w:r>
        <w:t xml:space="preserve"> </w:t>
      </w:r>
      <w:r>
        <w:t xml:space="preserve">This Invoice must be settled no later than 30 June 2025. Late payments are subject to a statutory interest charge of 1.5% per month as per Turkish Commercial Code (TTK) Article 30.</w:t>
      </w:r>
    </w:p>
    <w:bookmarkEnd w:id="24"/>
    <w:bookmarkStart w:id="25" w:name="important-notes-terms"/>
    <w:p>
      <w:pPr>
        <w:pStyle w:val="Heading3"/>
      </w:pPr>
      <w:r>
        <w:t xml:space="preserve">Important Notes &amp; Terms</w:t>
      </w:r>
    </w:p>
    <w:p>
      <w:pPr>
        <w:pStyle w:val="FirstParagraph"/>
      </w:pPr>
      <w:r>
        <w:t xml:space="preserve">1. This Invoice is issued in accordance with the Turkish Accounting Standards (TMS) and the General Communiqué No. 50 on Invoices, as enforced by the Republic of Turkey Ministry of Finance.</w:t>
      </w:r>
    </w:p>
    <w:p>
      <w:pPr>
        <w:pStyle w:val="BodyText"/>
      </w:pPr>
      <w:r>
        <w:t xml:space="preserve">2. All services rendered by the Education Administrator were performed within the administrative boundaries of Ankara, Turkey, and are subject to the local education regulations of the Ankara Provincial Directorate of National Education.</w:t>
      </w:r>
    </w:p>
    <w:p>
      <w:pPr>
        <w:pStyle w:val="BodyText"/>
      </w:pPr>
      <w:r>
        <w:t xml:space="preserve">3. The Education Administrator warrants that all deliverables, reports, and systems developed under this engagement comply with the data protection provisions of the Turkish Personal Data Protection Law (KVKK – Law No. 6698).</w:t>
      </w:r>
    </w:p>
    <w:p>
      <w:pPr>
        <w:pStyle w:val="BodyText"/>
      </w:pPr>
      <w:r>
        <w:t xml:space="preserve">4. Any disputes arising from this Invoice shall be resolved by the competent courts and arbitration centers in Ankara, Turkey. The parties agree to the exclusive jurisdiction of the Ankara courts.</w:t>
      </w:r>
    </w:p>
    <w:p>
      <w:pPr>
        <w:pStyle w:val="BodyText"/>
      </w:pPr>
      <w:r>
        <w:t xml:space="preserve">5. This Invoice constitutes a legally binding financial document. A duplicate may be requested in writing by referencing the Invoice number above. The original stamped copy must be retained for a minimum of ten (10) years per Turkish tax law.</w:t>
      </w:r>
    </w:p>
    <w:p>
      <w:pPr>
        <w:pStyle w:val="BodyText"/>
      </w:pPr>
      <w:r>
        <w:t xml:space="preserve">6. The Education Administrator's professional services are governed by the contract dated 05 January 2025 (Contract Ref: AEA-2025-0012) between Ankara Education Administration Services Ltd. and the Ankara Metropolitan Municipality.</w:t>
      </w:r>
    </w:p>
    <w:bookmarkEnd w:id="25"/>
    <w:p>
      <w:pPr>
        <w:pStyle w:val="BodyText"/>
      </w:pPr>
      <w:r>
        <w:rPr>
          <w:bCs/>
          <w:b/>
        </w:rPr>
        <w:t xml:space="preserve">Ankara Education Administration Services Ltd.</w:t>
      </w:r>
      <w:r>
        <w:t xml:space="preserve"> </w:t>
      </w:r>
      <w:r>
        <w:t xml:space="preserve">– Registered in the Ankara Trade Registry, File No: 2019/45678</w:t>
      </w:r>
    </w:p>
    <w:p>
      <w:pPr>
        <w:pStyle w:val="BodyText"/>
      </w:pPr>
      <w:r>
        <w:t xml:space="preserve">Address: Kızılay Mah. Atatürk Bulvarı No: 142/7, 06510 Çankaya, Ankara, Turkey</w:t>
      </w:r>
    </w:p>
    <w:p>
      <w:pPr>
        <w:pStyle w:val="BodyText"/>
      </w:pPr>
      <w:r>
        <w:t xml:space="preserve">Tax Office: Çankaya Tax Office | Tax ID (VKN): 1234567890 | GIB No: 12345678901</w:t>
      </w:r>
    </w:p>
    <w:p>
      <w:pPr>
        <w:pStyle w:val="BodyText"/>
      </w:pPr>
      <w:r>
        <w:t xml:space="preserve">This Invoice was electronically generated and is valid without a physical stamp per the e-Invoice regulations of the Turkish Revenue Administration (GİB).</w:t>
      </w:r>
    </w:p>
    <w:p>
      <w:pPr>
        <w:pStyle w:val="BodyText"/>
      </w:pPr>
      <w:r>
        <w:t xml:space="preserve">© 2025 Ankara Education Administration Services Ltd. All rights reserved. | Invoice INV-2025-ANK-00472 | Education Administrator Services –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Turkey Ankara</dc:title>
  <dc:creator/>
  <dc:language>en</dc:language>
  <cp:keywords/>
  <dcterms:created xsi:type="dcterms:W3CDTF">2026-10-10T06:44:00Z</dcterms:created>
  <dcterms:modified xsi:type="dcterms:W3CDTF">2026-10-10T06:44:00Z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