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eduadmin-istanbul-ltd."/>
    <w:p>
      <w:pPr>
        <w:pStyle w:val="Heading1"/>
      </w:pPr>
      <w:r>
        <w:t xml:space="preserve">EduAdmin Istanbul Ltd.</w:t>
      </w:r>
    </w:p>
    <w:p>
      <w:pPr>
        <w:pStyle w:val="FirstParagraph"/>
      </w:pPr>
      <w:r>
        <w:t xml:space="preserve">Professional Education Administration Services</w:t>
      </w:r>
    </w:p>
    <w:p>
      <w:pPr>
        <w:pStyle w:val="BodyText"/>
      </w:pPr>
      <w:r>
        <w:t xml:space="preserve">Address: Büyükdere Caddesi No. 142, 34450</w:t>
      </w:r>
    </w:p>
    <w:p>
      <w:pPr>
        <w:pStyle w:val="BodyText"/>
      </w:pPr>
      <w:r>
        <w:t xml:space="preserve">Esentepe, Sarıyer, Istanbul, Turkey</w:t>
      </w:r>
    </w:p>
    <w:p>
      <w:pPr>
        <w:pStyle w:val="BodyText"/>
      </w:pPr>
      <w:r>
        <w:t xml:space="preserve">Tax ID (VKN): 1234567890</w:t>
      </w:r>
    </w:p>
    <w:p>
      <w:pPr>
        <w:pStyle w:val="BodyText"/>
      </w:pPr>
      <w:r>
        <w:t xml:space="preserve">Phone: +90 212 555 0142</w:t>
      </w:r>
    </w:p>
    <w:p>
      <w:pPr>
        <w:pStyle w:val="BodyText"/>
      </w:pPr>
      <w:r>
        <w:t xml:space="preserve">Email: billing@eduadministanbul.com.tr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Turkey Istanbul</w:t>
      </w:r>
    </w:p>
    <w:bookmarkEnd w:id="21"/>
    <w:bookmarkStart w:id="22" w:name="billed-to"/>
    <w:p>
      <w:pPr>
        <w:pStyle w:val="Heading3"/>
      </w:pPr>
      <w:r>
        <w:t xml:space="preserve">Billed To</w:t>
      </w:r>
    </w:p>
    <w:p>
      <w:pPr>
        <w:pStyle w:val="FirstParagraph"/>
      </w:pPr>
      <w:r>
        <w:rPr>
          <w:bCs/>
          <w:b/>
        </w:rPr>
        <w:t xml:space="preserve">Marmara University – Faculty of Education</w:t>
      </w:r>
    </w:p>
    <w:p>
      <w:pPr>
        <w:pStyle w:val="BodyText"/>
      </w:pPr>
      <w:r>
        <w:t xml:space="preserve">Atatürk Bulvarı No. 34, 34726</w:t>
      </w:r>
    </w:p>
    <w:p>
      <w:pPr>
        <w:pStyle w:val="BodyText"/>
      </w:pPr>
      <w:r>
        <w:t xml:space="preserve">Zeytinburnu, Istanbul, Turkey</w:t>
      </w:r>
    </w:p>
    <w:p>
      <w:pPr>
        <w:pStyle w:val="BodyText"/>
      </w:pPr>
      <w:r>
        <w:t xml:space="preserve">Contact: Prof. Dr. Ayşe Kaya</w:t>
      </w:r>
    </w:p>
    <w:p>
      <w:pPr>
        <w:pStyle w:val="BodyText"/>
      </w:pPr>
      <w:r>
        <w:t xml:space="preserve">Email: a.kaya@marmara.edu.tr</w:t>
      </w:r>
    </w:p>
    <w:p>
      <w:pPr>
        <w:pStyle w:val="BodyText"/>
      </w:pPr>
      <w:r>
        <w:t xml:space="preserve">Tax ID: 9876543210</w:t>
      </w:r>
    </w:p>
    <w:bookmarkEnd w:id="22"/>
    <w:bookmarkStart w:id="23" w:name="service-provider"/>
    <w:p>
      <w:pPr>
        <w:pStyle w:val="Heading3"/>
      </w:pPr>
      <w:r>
        <w:t xml:space="preserve">Service Provider</w:t>
      </w:r>
    </w:p>
    <w:p>
      <w:pPr>
        <w:pStyle w:val="FirstParagraph"/>
      </w:pPr>
      <w:r>
        <w:rPr>
          <w:bCs/>
          <w:b/>
        </w:rPr>
        <w:t xml:space="preserve">EduAdmin Istanbul Ltd.</w:t>
      </w:r>
    </w:p>
    <w:p>
      <w:pPr>
        <w:pStyle w:val="BodyText"/>
      </w:pPr>
      <w:r>
        <w:t xml:space="preserve">Lead Education Administrator: Mehmet Yılmaz</w:t>
      </w:r>
    </w:p>
    <w:p>
      <w:pPr>
        <w:pStyle w:val="BodyText"/>
      </w:pPr>
      <w:r>
        <w:t xml:space="preserve">Professional License No: TR-EDU-2024-00891</w:t>
      </w:r>
    </w:p>
    <w:p>
      <w:pPr>
        <w:pStyle w:val="BodyText"/>
      </w:pPr>
      <w:r>
        <w:t xml:space="preserve">Chamber of Commerce: Istanbul Ticaret Odası</w:t>
      </w:r>
    </w:p>
    <w:p>
      <w:pPr>
        <w:pStyle w:val="BodyText"/>
      </w:pPr>
      <w:r>
        <w:t xml:space="preserve">Registration No: 2024/004521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Monthly curriculum coordination and academic planning oversight for the Faculty of Education, including syllabus alignment with MEB (Ministry of National Education) standards in Turkey Istanbul region.</w:t>
            </w:r>
          </w:p>
        </w:tc>
        <w:tc>
          <w:tcPr/>
          <w:p>
            <w:pPr>
              <w:pStyle w:val="Compact"/>
              <w:jc w:val="left"/>
            </w:pPr>
            <w:r>
              <w:t xml:space="preserve">Academic Administration</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Faculty scheduling, classroom allocation, and resource management for 120+ courses across three departments. Includes coordination with the central administration office in Istanbul.</w:t>
            </w:r>
          </w:p>
        </w:tc>
        <w:tc>
          <w:tcPr/>
          <w:p>
            <w:pPr>
              <w:pStyle w:val="Compact"/>
              <w:jc w:val="left"/>
            </w:pPr>
            <w:r>
              <w:t xml:space="preserve">Operational Management</w:t>
            </w:r>
          </w:p>
        </w:tc>
        <w:tc>
          <w:tcPr/>
          <w:p>
            <w:pPr>
              <w:pStyle w:val="Compact"/>
              <w:jc w:val="left"/>
            </w:pPr>
            <w:r>
              <w:t xml:space="preserve">32</w:t>
            </w:r>
          </w:p>
        </w:tc>
        <w:tc>
          <w:tcPr/>
          <w:p>
            <w:pPr>
              <w:pStyle w:val="Compact"/>
              <w:jc w:val="left"/>
            </w:pPr>
            <w:r>
              <w:t xml:space="preserve">1,100.00</w:t>
            </w:r>
          </w:p>
        </w:tc>
        <w:tc>
          <w:tcPr/>
          <w:p>
            <w:pPr>
              <w:pStyle w:val="Compact"/>
              <w:jc w:val="left"/>
            </w:pPr>
            <w:r>
              <w:t xml:space="preserve">35,200.00</w:t>
            </w:r>
          </w:p>
        </w:tc>
      </w:tr>
      <w:tr>
        <w:tc>
          <w:tcPr/>
          <w:p>
            <w:pPr>
              <w:pStyle w:val="Compact"/>
              <w:jc w:val="left"/>
            </w:pPr>
            <w:r>
              <w:t xml:space="preserve">3</w:t>
            </w:r>
          </w:p>
        </w:tc>
        <w:tc>
          <w:tcPr/>
          <w:p>
            <w:pPr>
              <w:pStyle w:val="Compact"/>
              <w:jc w:val="left"/>
            </w:pPr>
            <w:r>
              <w:t xml:space="preserve">Student records management, enrollment verification, and transcript processing for 2,400 undergraduate and graduate students. Data handled in compliance with KVKK (Turkish Data Protection Law).</w:t>
            </w:r>
          </w:p>
        </w:tc>
        <w:tc>
          <w:tcPr/>
          <w:p>
            <w:pPr>
              <w:pStyle w:val="Compact"/>
              <w:jc w:val="left"/>
            </w:pPr>
            <w:r>
              <w:t xml:space="preserve">Student Administration</w:t>
            </w:r>
          </w:p>
        </w:tc>
        <w:tc>
          <w:tcPr/>
          <w:p>
            <w:pPr>
              <w:pStyle w:val="Compact"/>
              <w:jc w:val="left"/>
            </w:pPr>
            <w:r>
              <w:t xml:space="preserve">28</w:t>
            </w:r>
          </w:p>
        </w:tc>
        <w:tc>
          <w:tcPr/>
          <w:p>
            <w:pPr>
              <w:pStyle w:val="Compact"/>
              <w:jc w:val="left"/>
            </w:pPr>
            <w:r>
              <w:t xml:space="preserve">1,050.00</w:t>
            </w:r>
          </w:p>
        </w:tc>
        <w:tc>
          <w:tcPr/>
          <w:p>
            <w:pPr>
              <w:pStyle w:val="Compact"/>
              <w:jc w:val="left"/>
            </w:pPr>
            <w:r>
              <w:t xml:space="preserve">29,400.00</w:t>
            </w:r>
          </w:p>
        </w:tc>
      </w:tr>
      <w:tr>
        <w:tc>
          <w:tcPr/>
          <w:p>
            <w:pPr>
              <w:pStyle w:val="Compact"/>
              <w:jc w:val="left"/>
            </w:pPr>
            <w:r>
              <w:t xml:space="preserve">4</w:t>
            </w:r>
          </w:p>
        </w:tc>
        <w:tc>
          <w:tcPr/>
          <w:p>
            <w:pPr>
              <w:pStyle w:val="Compact"/>
              <w:jc w:val="left"/>
            </w:pPr>
            <w:r>
              <w:t xml:space="preserve">Preparation and submission of accreditation documentation for the European Association for Quality Assurance in Higher Education (ENQA) review cycle. Includes coordination with the Quality Assurance Unit in Turkey Istanbul.</w:t>
            </w:r>
          </w:p>
        </w:tc>
        <w:tc>
          <w:tcPr/>
          <w:p>
            <w:pPr>
              <w:pStyle w:val="Compact"/>
              <w:jc w:val="left"/>
            </w:pPr>
            <w:r>
              <w:t xml:space="preserve">Compliance &amp; Accreditation</w:t>
            </w:r>
          </w:p>
        </w:tc>
        <w:tc>
          <w:tcPr/>
          <w:p>
            <w:pPr>
              <w:pStyle w:val="Compact"/>
              <w:jc w:val="left"/>
            </w:pPr>
            <w:r>
              <w:t xml:space="preserve">24</w:t>
            </w:r>
          </w:p>
        </w:tc>
        <w:tc>
          <w:tcPr/>
          <w:p>
            <w:pPr>
              <w:pStyle w:val="Compact"/>
              <w:jc w:val="left"/>
            </w:pPr>
            <w:r>
              <w:t xml:space="preserve">1,400.00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Organization and logistical coordination of the Annual Education Administrators Conference held at the Istanbul Convention Center. Includes vendor management, speaker scheduling, and participant registration for 350 attendees.</w:t>
            </w:r>
          </w:p>
        </w:tc>
        <w:tc>
          <w:tcPr/>
          <w:p>
            <w:pPr>
              <w:pStyle w:val="Compact"/>
              <w:jc w:val="left"/>
            </w:pPr>
            <w:r>
              <w:t xml:space="preserve">Event Administration</w:t>
            </w:r>
          </w:p>
        </w:tc>
        <w:tc>
          <w:tcPr/>
          <w:p>
            <w:pPr>
              <w:pStyle w:val="Compact"/>
              <w:jc w:val="left"/>
            </w:pPr>
            <w:r>
              <w:t xml:space="preserve">48</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6</w:t>
            </w:r>
          </w:p>
        </w:tc>
        <w:tc>
          <w:tcPr/>
          <w:p>
            <w:pPr>
              <w:pStyle w:val="Compact"/>
              <w:jc w:val="left"/>
            </w:pPr>
            <w:r>
              <w:t xml:space="preserve">Development and implementation of a new digital learning management system (LMS) integration plan. Includes stakeholder workshops, vendor evaluation, and migration strategy documentation for the Istanbul campus.</w:t>
            </w:r>
          </w:p>
        </w:tc>
        <w:tc>
          <w:tcPr/>
          <w:p>
            <w:pPr>
              <w:pStyle w:val="Compact"/>
              <w:jc w:val="left"/>
            </w:pPr>
            <w:r>
              <w:t xml:space="preserve">Technology &amp; Innovation</w:t>
            </w:r>
          </w:p>
        </w:tc>
        <w:tc>
          <w:tcPr/>
          <w:p>
            <w:pPr>
              <w:pStyle w:val="Compact"/>
              <w:jc w:val="left"/>
            </w:pPr>
            <w:r>
              <w:t xml:space="preserve">36</w:t>
            </w:r>
          </w:p>
        </w:tc>
        <w:tc>
          <w:tcPr/>
          <w:p>
            <w:pPr>
              <w:pStyle w:val="Compact"/>
              <w:jc w:val="left"/>
            </w:pPr>
            <w:r>
              <w:t xml:space="preserve">1,300.00</w:t>
            </w:r>
          </w:p>
        </w:tc>
        <w:tc>
          <w:tcPr/>
          <w:p>
            <w:pPr>
              <w:pStyle w:val="Compact"/>
              <w:jc w:val="left"/>
            </w:pPr>
            <w:r>
              <w:t xml:space="preserve">46,800.00</w:t>
            </w:r>
          </w:p>
        </w:tc>
      </w:tr>
      <w:tr>
        <w:tc>
          <w:tcPr/>
          <w:p>
            <w:pPr>
              <w:pStyle w:val="Compact"/>
              <w:jc w:val="left"/>
            </w:pPr>
            <w:r>
              <w:t xml:space="preserve">7</w:t>
            </w:r>
          </w:p>
        </w:tc>
        <w:tc>
          <w:tcPr/>
          <w:p>
            <w:pPr>
              <w:pStyle w:val="Compact"/>
              <w:jc w:val="left"/>
            </w:pPr>
            <w:r>
              <w:t xml:space="preserve">Monthly performance reporting, budget tracking, and financial reconciliation for the Education Department. Includes preparation of quarterly reports for the University Senate and the Ministry of National Education in Ankara.</w:t>
            </w:r>
          </w:p>
        </w:tc>
        <w:tc>
          <w:tcPr/>
          <w:p>
            <w:pPr>
              <w:pStyle w:val="Compact"/>
              <w:jc w:val="left"/>
            </w:pPr>
            <w:r>
              <w:t xml:space="preserve">Financial Administration</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Staff recruitment support, onboarding coordination, and professional development planning for 45 academic and administrative personnel. Includes interview panel scheduling and HR documentation in accordance with Turkish labor law.</w:t>
            </w:r>
          </w:p>
        </w:tc>
        <w:tc>
          <w:tcPr/>
          <w:p>
            <w:pPr>
              <w:pStyle w:val="Compact"/>
              <w:jc w:val="left"/>
            </w:pPr>
            <w:r>
              <w:t xml:space="preserve">Human Resources</w:t>
            </w:r>
          </w:p>
        </w:tc>
        <w:tc>
          <w:tcPr/>
          <w:p>
            <w:pPr>
              <w:pStyle w:val="Compact"/>
              <w:jc w:val="left"/>
            </w:pPr>
            <w:r>
              <w:t xml:space="preserve">22</w:t>
            </w:r>
          </w:p>
        </w:tc>
        <w:tc>
          <w:tcPr/>
          <w:p>
            <w:pPr>
              <w:pStyle w:val="Compact"/>
              <w:jc w:val="left"/>
            </w:pPr>
            <w:r>
              <w:t xml:space="preserve">1,150.00</w:t>
            </w:r>
          </w:p>
        </w:tc>
        <w:tc>
          <w:tcPr/>
          <w:p>
            <w:pPr>
              <w:pStyle w:val="Compact"/>
              <w:jc w:val="left"/>
            </w:pPr>
            <w:r>
              <w:t xml:space="preserve">25,300.00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290,000.00 TRY</w:t>
            </w:r>
          </w:p>
        </w:tc>
      </w:tr>
      <w:tr>
        <w:tc>
          <w:tcPr/>
          <w:p>
            <w:pPr>
              <w:pStyle w:val="Compact"/>
              <w:jc w:val="left"/>
            </w:pPr>
            <w:r>
              <w:t xml:space="preserve">VAT (KDV) – 20%</w:t>
            </w:r>
          </w:p>
        </w:tc>
        <w:tc>
          <w:tcPr/>
          <w:p>
            <w:pPr>
              <w:pStyle w:val="Compact"/>
              <w:jc w:val="left"/>
            </w:pPr>
            <w:r>
              <w:t xml:space="preserve">58,000.00 TRY</w:t>
            </w:r>
          </w:p>
        </w:tc>
      </w:tr>
      <w:tr>
        <w:tc>
          <w:tcPr/>
          <w:p>
            <w:pPr>
              <w:pStyle w:val="Compact"/>
              <w:jc w:val="left"/>
            </w:pPr>
            <w:r>
              <w:t xml:space="preserve">Discount (Early Payment – 2%)</w:t>
            </w:r>
          </w:p>
        </w:tc>
        <w:tc>
          <w:tcPr/>
          <w:p>
            <w:pPr>
              <w:pStyle w:val="Compact"/>
              <w:jc w:val="left"/>
            </w:pPr>
            <w:r>
              <w:t xml:space="preserve">-5,800.00 TRY</w:t>
            </w:r>
          </w:p>
        </w:tc>
      </w:tr>
      <w:tr>
        <w:tc>
          <w:tcPr/>
          <w:p>
            <w:pPr>
              <w:pStyle w:val="Compact"/>
              <w:jc w:val="left"/>
            </w:pPr>
            <w:r>
              <w:t xml:space="preserve">TOTAL DUE</w:t>
            </w:r>
          </w:p>
        </w:tc>
        <w:tc>
          <w:tcPr/>
          <w:p>
            <w:pPr>
              <w:pStyle w:val="Compact"/>
              <w:jc w:val="left"/>
            </w:pPr>
            <w:r>
              <w:t xml:space="preserve">342,200.00 TRY</w:t>
            </w:r>
          </w:p>
        </w:tc>
      </w:tr>
    </w:tbl>
    <w:bookmarkStart w:id="24" w:name="invoice-notes-terms"/>
    <w:p>
      <w:pPr>
        <w:pStyle w:val="Heading3"/>
      </w:pPr>
      <w:r>
        <w:t xml:space="preserve">Invoice Notes &amp; Terms</w:t>
      </w:r>
    </w:p>
    <w:p>
      <w:pPr>
        <w:pStyle w:val="FirstParagraph"/>
      </w:pPr>
      <w:r>
        <w:t xml:space="preserve">This Invoice is issued by EduAdmin Istanbul Ltd. for professional Education Administrator services rendered to Marmara University, Faculty of Education, located in Turkey Istanbul. All services were performed in accordance with the Master Service Agreement (MSA) dated 01 January 2025, Contract Reference: MSA-2025-EDU-0012.</w:t>
      </w:r>
    </w:p>
    <w:p>
      <w:pPr>
        <w:numPr>
          <w:ilvl w:val="0"/>
          <w:numId w:val="1001"/>
        </w:numPr>
        <w:pStyle w:val="Compact"/>
      </w:pPr>
      <w:r>
        <w:t xml:space="preserve">Payment is due within 15 calendar days of the Invoice issue date. Late payments will incur a penalty of 1.5% per month as stipulated under Turkish Commercial Code (Türk Ticaret Kanunu) Article 30.</w:t>
      </w:r>
    </w:p>
    <w:p>
      <w:pPr>
        <w:numPr>
          <w:ilvl w:val="0"/>
          <w:numId w:val="1001"/>
        </w:numPr>
        <w:pStyle w:val="Compact"/>
      </w:pPr>
      <w:r>
        <w:t xml:space="preserve">All amounts are quoted in Turkish Lira (TRY). The Education Administrator services described herein are subject to the professional standards set by the Turkish Ministry of National Education and the Council of Higher Education (YÖK).</w:t>
      </w:r>
    </w:p>
    <w:p>
      <w:pPr>
        <w:numPr>
          <w:ilvl w:val="0"/>
          <w:numId w:val="1001"/>
        </w:numPr>
        <w:pStyle w:val="Compact"/>
      </w:pPr>
      <w:r>
        <w:t xml:space="preserve">This Invoice covers services exclusively delivered within the Turkey Istanbul metropolitan area. Any travel or on-site work performed outside Istanbul will be invoiced separately.</w:t>
      </w:r>
    </w:p>
    <w:p>
      <w:pPr>
        <w:numPr>
          <w:ilvl w:val="0"/>
          <w:numId w:val="1001"/>
        </w:numPr>
        <w:pStyle w:val="Compact"/>
      </w:pPr>
      <w:r>
        <w:t xml:space="preserve">The Education Administrator engagement includes full compliance with KVKK (Law No. 6698) regarding personal data processing of student and staff records.</w:t>
      </w:r>
    </w:p>
    <w:p>
      <w:pPr>
        <w:numPr>
          <w:ilvl w:val="0"/>
          <w:numId w:val="1001"/>
        </w:numPr>
        <w:pStyle w:val="Compact"/>
      </w:pPr>
      <w:r>
        <w:t xml:space="preserve">Disputes regarding this Invoice shall be resolved under the jurisdiction of the Istanbul Commercial Courts.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Ziraat Bankası A.Ş. – Istanbul Esentepe Branch</w:t>
      </w:r>
    </w:p>
    <w:p>
      <w:pPr>
        <w:pStyle w:val="BodyText"/>
      </w:pPr>
      <w:r>
        <w:rPr>
          <w:bCs/>
          <w:b/>
        </w:rPr>
        <w:t xml:space="preserve">Account Name:</w:t>
      </w:r>
      <w:r>
        <w:t xml:space="preserve"> </w:t>
      </w:r>
      <w:r>
        <w:t xml:space="preserve">EduAdmin Istanbul Ltd.</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Please include Invoice No. INV-2025-IST-0047 in the payment reference field.</w:t>
      </w:r>
    </w:p>
    <w:p>
      <w:pPr>
        <w:pStyle w:val="BodyText"/>
      </w:pPr>
      <w:r>
        <w:rPr>
          <w:bCs/>
          <w:b/>
        </w:rPr>
        <w:t xml:space="preserve">Payment Method:</w:t>
      </w:r>
      <w:r>
        <w:t xml:space="preserve"> </w:t>
      </w:r>
      <w:r>
        <w:t xml:space="preserve">Bank Transfer (EFT/Havale) or Wire Transfer. Cheques are not accepted for this Invoice.</w:t>
      </w:r>
    </w:p>
    <w:bookmarkEnd w:id="25"/>
    <w:p>
      <w:pPr>
        <w:pStyle w:val="BodyText"/>
      </w:pPr>
      <w:r>
        <w:rPr>
          <w:bCs/>
          <w:b/>
        </w:rPr>
        <w:t xml:space="preserve">EduAdmin Istanbul Ltd.</w:t>
      </w:r>
      <w:r>
        <w:t xml:space="preserve"> </w:t>
      </w:r>
      <w:r>
        <w:t xml:space="preserve">– Professional Education Administrator Services in Turkey Istanbul</w:t>
      </w:r>
    </w:p>
    <w:p>
      <w:pPr>
        <w:pStyle w:val="BodyText"/>
      </w:pPr>
      <w:r>
        <w:t xml:space="preserve">Registered Address: Büyükdere Caddesi No. 142, 34450 Esentepe, Sarıyer, Istanbul, Turkey</w:t>
      </w:r>
    </w:p>
    <w:p>
      <w:pPr>
        <w:pStyle w:val="BodyText"/>
      </w:pPr>
      <w:r>
        <w:t xml:space="preserve">Tax ID: 1234567890 | Chamber of Commerce: Istanbul Ticaret Odası | Registration: 2024/004521</w:t>
      </w:r>
    </w:p>
    <w:p>
      <w:pPr>
        <w:pStyle w:val="BodyText"/>
      </w:pPr>
      <w:r>
        <w:t xml:space="preserve">This is a computer-generated Invoice and does not require a physical signature. For queries regarding this Invoice, please contact billing@eduadministanbul.com.tr or call +90 212 555 0142.</w:t>
      </w:r>
    </w:p>
    <w:p>
      <w:pPr>
        <w:pStyle w:val="BodyText"/>
      </w:pPr>
      <w:r>
        <w:t xml:space="preserve">© 2025 EduAdmin Istanbul Ltd. All rights reserved. This Invoice is valid for 90 days from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Turkey Istanbul</dc:title>
  <dc:creator/>
  <dc:language>en</dc:language>
  <cp:keywords/>
  <dcterms:created xsi:type="dcterms:W3CDTF">2026-10-10T06:22:19Z</dcterms:created>
  <dcterms:modified xsi:type="dcterms:W3CDTF">2026-10-10T06:22:19Z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