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Education</w:t>
      </w:r>
      <w:r>
        <w:t xml:space="preserve"> </w:t>
      </w:r>
      <w:r>
        <w:t xml:space="preserve">Administrator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meridian-educational-consulting-group"/>
    <w:p>
      <w:pPr>
        <w:pStyle w:val="Heading2"/>
      </w:pPr>
      <w:r>
        <w:t xml:space="preserve">Meridian Educational Consulting Group</w:t>
      </w:r>
    </w:p>
    <w:p>
      <w:pPr>
        <w:pStyle w:val="FirstParagraph"/>
      </w:pPr>
      <w:r>
        <w:t xml:space="preserve">4500 Wilshire Boulevard, Suite 1200</w:t>
      </w:r>
    </w:p>
    <w:p>
      <w:pPr>
        <w:pStyle w:val="BodyText"/>
      </w:pPr>
      <w:r>
        <w:t xml:space="preserve">Los Angeles, California 90016</w:t>
      </w:r>
    </w:p>
    <w:p>
      <w:pPr>
        <w:pStyle w:val="BodyText"/>
      </w:pPr>
      <w:r>
        <w:t xml:space="preserve">United States</w:t>
      </w:r>
    </w:p>
    <w:p>
      <w:pPr>
        <w:pStyle w:val="BodyText"/>
      </w:pPr>
      <w:r>
        <w:t xml:space="preserve">Tel: (213) 555-0187 | Email: billing@meridianedconsulting.com</w:t>
      </w:r>
    </w:p>
    <w:p>
      <w:pPr>
        <w:pStyle w:val="BodyText"/>
      </w:pPr>
      <w:r>
        <w:t xml:space="preserve">CA Business License: #17-284-5561</w:t>
      </w:r>
    </w:p>
    <w:bookmarkEnd w:id="20"/>
    <w:p>
      <w:pPr>
        <w:pStyle w:val="BodyText"/>
      </w:pPr>
      <w:r>
        <w:t xml:space="preserve">INVOICE</w:t>
      </w:r>
    </w:p>
    <w:p>
      <w:pPr>
        <w:pStyle w:val="BodyText"/>
      </w:pPr>
      <w:r>
        <w:rPr>
          <w:bCs/>
          <w:b/>
        </w:rPr>
        <w:t xml:space="preserve">Invoice Number:</w:t>
      </w:r>
      <w:r>
        <w:t xml:space="preserve"> </w:t>
      </w:r>
      <w:r>
        <w:t xml:space="preserve">MEG-2025-00482</w:t>
      </w:r>
    </w:p>
    <w:p>
      <w:pPr>
        <w:pStyle w:val="BodyText"/>
      </w:pPr>
      <w:r>
        <w:rPr>
          <w:bCs/>
          <w:b/>
        </w:rPr>
        <w:t xml:space="preserve">Invoice Date:</w:t>
      </w:r>
      <w:r>
        <w:t xml:space="preserve"> </w:t>
      </w:r>
      <w:r>
        <w:t xml:space="preserve">June 12, 2025</w:t>
      </w:r>
    </w:p>
    <w:p>
      <w:pPr>
        <w:pStyle w:val="BodyText"/>
      </w:pPr>
      <w:r>
        <w:rPr>
          <w:bCs/>
          <w:b/>
        </w:rPr>
        <w:t xml:space="preserve">Due Date:</w:t>
      </w:r>
      <w:r>
        <w:t xml:space="preserve"> </w:t>
      </w:r>
      <w:r>
        <w:t xml:space="preserve">July 12, 2025</w:t>
      </w:r>
    </w:p>
    <w:p>
      <w:pPr>
        <w:pStyle w:val="BodyText"/>
      </w:pPr>
      <w:r>
        <w:rPr>
          <w:bCs/>
          <w:b/>
        </w:rPr>
        <w:t xml:space="preserve">Payment Terms:</w:t>
      </w:r>
      <w:r>
        <w:t xml:space="preserve"> </w:t>
      </w:r>
      <w:r>
        <w:t xml:space="preserve">Net 30</w:t>
      </w:r>
    </w:p>
    <w:p>
      <w:pPr>
        <w:pStyle w:val="BodyText"/>
      </w:pPr>
      <w:r>
        <w:t xml:space="preserve">United States Los Angeles</w:t>
      </w:r>
    </w:p>
    <w:bookmarkStart w:id="21" w:name="billed-to"/>
    <w:p>
      <w:pPr>
        <w:pStyle w:val="Heading3"/>
      </w:pPr>
      <w:r>
        <w:t xml:space="preserve">Billed To</w:t>
      </w:r>
    </w:p>
    <w:p>
      <w:pPr>
        <w:pStyle w:val="FirstParagraph"/>
      </w:pPr>
      <w:r>
        <w:rPr>
          <w:bCs/>
          <w:b/>
        </w:rPr>
        <w:t xml:space="preserve">Los Angeles Unified School District</w:t>
      </w:r>
    </w:p>
    <w:p>
      <w:pPr>
        <w:pStyle w:val="BodyText"/>
      </w:pPr>
      <w:r>
        <w:t xml:space="preserve">Office of Educational Administration</w:t>
      </w:r>
    </w:p>
    <w:p>
      <w:pPr>
        <w:pStyle w:val="BodyText"/>
      </w:pPr>
      <w:r>
        <w:t xml:space="preserve">3530 S. Figueroa Street</w:t>
      </w:r>
    </w:p>
    <w:p>
      <w:pPr>
        <w:pStyle w:val="BodyText"/>
      </w:pPr>
      <w:r>
        <w:t xml:space="preserve">Los Angeles, California 90037</w:t>
      </w:r>
    </w:p>
    <w:p>
      <w:pPr>
        <w:pStyle w:val="BodyText"/>
      </w:pPr>
      <w:r>
        <w:t xml:space="preserve">United States</w:t>
      </w:r>
    </w:p>
    <w:p>
      <w:pPr>
        <w:pStyle w:val="BodyText"/>
      </w:pPr>
      <w:r>
        <w:t xml:space="preserve">Attn: Dr. Patricia Whitmore, Chief Academic Officer</w:t>
      </w:r>
    </w:p>
    <w:p>
      <w:pPr>
        <w:pStyle w:val="BodyText"/>
      </w:pPr>
      <w:r>
        <w:t xml:space="preserve">PO Number: LAUSD-EDU-2025-7741</w:t>
      </w:r>
    </w:p>
    <w:bookmarkEnd w:id="21"/>
    <w:bookmarkStart w:id="22" w:name="service-provider"/>
    <w:p>
      <w:pPr>
        <w:pStyle w:val="Heading3"/>
      </w:pPr>
      <w:r>
        <w:t xml:space="preserve">Service Provider</w:t>
      </w:r>
    </w:p>
    <w:p>
      <w:pPr>
        <w:pStyle w:val="FirstParagraph"/>
      </w:pPr>
      <w:r>
        <w:rPr>
          <w:bCs/>
          <w:b/>
        </w:rPr>
        <w:t xml:space="preserve">Mr. Jonathan R. Caldwell</w:t>
      </w:r>
    </w:p>
    <w:p>
      <w:pPr>
        <w:pStyle w:val="BodyText"/>
      </w:pPr>
      <w:r>
        <w:t xml:space="preserve">Education Administrator, M.Ed., C.P.A.</w:t>
      </w:r>
    </w:p>
    <w:p>
      <w:pPr>
        <w:pStyle w:val="BodyText"/>
      </w:pPr>
      <w:r>
        <w:t xml:space="preserve">Meridian Educational Consulting Group</w:t>
      </w:r>
    </w:p>
    <w:p>
      <w:pPr>
        <w:pStyle w:val="BodyText"/>
      </w:pPr>
      <w:r>
        <w:t xml:space="preserve">4500 Wilshire Boulevard, Suite 1200</w:t>
      </w:r>
    </w:p>
    <w:p>
      <w:pPr>
        <w:pStyle w:val="BodyText"/>
      </w:pPr>
      <w:r>
        <w:t xml:space="preserve">Los Angeles, California 90016</w:t>
      </w:r>
    </w:p>
    <w:p>
      <w:pPr>
        <w:pStyle w:val="BodyText"/>
      </w:pPr>
      <w:r>
        <w:t xml:space="preserve">United States</w:t>
      </w:r>
    </w:p>
    <w:p>
      <w:pPr>
        <w:pStyle w:val="BodyText"/>
      </w:pPr>
      <w:r>
        <w:t xml:space="preserve">CA Education Administrator License: #EA-2019-44782</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 Performed</w:t>
            </w:r>
          </w:p>
        </w:tc>
        <w:tc>
          <w:tcPr/>
          <w:p>
            <w:pPr>
              <w:pStyle w:val="Compact"/>
              <w:jc w:val="left"/>
            </w:pPr>
            <w:r>
              <w:t xml:space="preserve">Hours / Units</w:t>
            </w:r>
          </w:p>
        </w:tc>
        <w:tc>
          <w:tcPr/>
          <w:p>
            <w:pPr>
              <w:pStyle w:val="Compact"/>
              <w:jc w:val="left"/>
            </w:pPr>
            <w:r>
              <w:t xml:space="preserve">Rate</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Education Administrator Strategic Planning &amp; Curriculum Oversight for the 2025-2026 Academic Year. Comprehensive review of district-wide instructional frameworks, alignment with California Common Core State Standards, and development of a multi-year academic improvement plan for all K-12 campuses within the United States Los Angeles metropolitan service area.</w:t>
            </w:r>
          </w:p>
        </w:tc>
        <w:tc>
          <w:tcPr/>
          <w:p>
            <w:pPr>
              <w:pStyle w:val="Compact"/>
              <w:jc w:val="left"/>
            </w:pPr>
            <w:r>
              <w:t xml:space="preserve">Jan 6 – Jan 31, 2025</w:t>
            </w:r>
          </w:p>
        </w:tc>
        <w:tc>
          <w:tcPr/>
          <w:p>
            <w:pPr>
              <w:pStyle w:val="Compact"/>
              <w:jc w:val="left"/>
            </w:pPr>
            <w:r>
              <w:t xml:space="preserve">120 hrs</w:t>
            </w:r>
          </w:p>
        </w:tc>
        <w:tc>
          <w:tcPr/>
          <w:p>
            <w:pPr>
              <w:pStyle w:val="Compact"/>
              <w:jc w:val="left"/>
            </w:pPr>
            <w:r>
              <w:t xml:space="preserve">$185.00/hr</w:t>
            </w:r>
          </w:p>
        </w:tc>
        <w:tc>
          <w:tcPr/>
          <w:p>
            <w:pPr>
              <w:pStyle w:val="Compact"/>
              <w:jc w:val="left"/>
            </w:pPr>
            <w:r>
              <w:t xml:space="preserve">$22,200.00</w:t>
            </w:r>
          </w:p>
        </w:tc>
      </w:tr>
      <w:tr>
        <w:tc>
          <w:tcPr/>
          <w:p>
            <w:pPr>
              <w:pStyle w:val="Compact"/>
              <w:jc w:val="left"/>
            </w:pPr>
            <w:r>
              <w:t xml:space="preserve">2</w:t>
            </w:r>
          </w:p>
        </w:tc>
        <w:tc>
          <w:tcPr/>
          <w:p>
            <w:pPr>
              <w:pStyle w:val="Compact"/>
              <w:jc w:val="left"/>
            </w:pPr>
            <w:r>
              <w:t xml:space="preserve">Education Administrator Budget Analysis &amp; Resource Allocation. Detailed financial audit of instructional expenditures across 142 schools, identification of cost-saving opportunities, and reallocation of funds to support Title I and Title III programs. Includes preparation of a 45-page budget justification report submitted to the LAUSD Board of Education.</w:t>
            </w:r>
          </w:p>
        </w:tc>
        <w:tc>
          <w:tcPr/>
          <w:p>
            <w:pPr>
              <w:pStyle w:val="Compact"/>
              <w:jc w:val="left"/>
            </w:pPr>
            <w:r>
              <w:t xml:space="preserve">Feb 3 – Feb 28, 2025</w:t>
            </w:r>
          </w:p>
        </w:tc>
        <w:tc>
          <w:tcPr/>
          <w:p>
            <w:pPr>
              <w:pStyle w:val="Compact"/>
              <w:jc w:val="left"/>
            </w:pPr>
            <w:r>
              <w:t xml:space="preserve">96 hrs</w:t>
            </w:r>
          </w:p>
        </w:tc>
        <w:tc>
          <w:tcPr/>
          <w:p>
            <w:pPr>
              <w:pStyle w:val="Compact"/>
              <w:jc w:val="left"/>
            </w:pPr>
            <w:r>
              <w:t xml:space="preserve">$185.00/hr</w:t>
            </w:r>
          </w:p>
        </w:tc>
        <w:tc>
          <w:tcPr/>
          <w:p>
            <w:pPr>
              <w:pStyle w:val="Compact"/>
              <w:jc w:val="left"/>
            </w:pPr>
            <w:r>
              <w:t xml:space="preserve">$17,760.00</w:t>
            </w:r>
          </w:p>
        </w:tc>
      </w:tr>
      <w:tr>
        <w:tc>
          <w:tcPr/>
          <w:p>
            <w:pPr>
              <w:pStyle w:val="Compact"/>
              <w:jc w:val="left"/>
            </w:pPr>
            <w:r>
              <w:t xml:space="preserve">3</w:t>
            </w:r>
          </w:p>
        </w:tc>
        <w:tc>
          <w:tcPr/>
          <w:p>
            <w:pPr>
              <w:pStyle w:val="Compact"/>
              <w:jc w:val="left"/>
            </w:pPr>
            <w:r>
              <w:t xml:space="preserve">Education Administrator Staff Development &amp; Professional Growth Program Design. Creation and delivery of a 12-week professional development series for 340 classroom teachers and 58 department chairs. Focused on differentiated instruction, culturally responsive pedagogy, and data-driven assessment practices aligned with United States Los Angeles district priorities.</w:t>
            </w:r>
          </w:p>
        </w:tc>
        <w:tc>
          <w:tcPr/>
          <w:p>
            <w:pPr>
              <w:pStyle w:val="Compact"/>
              <w:jc w:val="left"/>
            </w:pPr>
            <w:r>
              <w:t xml:space="preserve">Mar 4 – May 23, 2025</w:t>
            </w:r>
          </w:p>
        </w:tc>
        <w:tc>
          <w:tcPr/>
          <w:p>
            <w:pPr>
              <w:pStyle w:val="Compact"/>
              <w:jc w:val="left"/>
            </w:pPr>
            <w:r>
              <w:t xml:space="preserve">160 hrs</w:t>
            </w:r>
          </w:p>
        </w:tc>
        <w:tc>
          <w:tcPr/>
          <w:p>
            <w:pPr>
              <w:pStyle w:val="Compact"/>
              <w:jc w:val="left"/>
            </w:pPr>
            <w:r>
              <w:t xml:space="preserve">$175.00/hr</w:t>
            </w:r>
          </w:p>
        </w:tc>
        <w:tc>
          <w:tcPr/>
          <w:p>
            <w:pPr>
              <w:pStyle w:val="Compact"/>
              <w:jc w:val="left"/>
            </w:pPr>
            <w:r>
              <w:t xml:space="preserve">$28,000.00</w:t>
            </w:r>
          </w:p>
        </w:tc>
      </w:tr>
      <w:tr>
        <w:tc>
          <w:tcPr/>
          <w:p>
            <w:pPr>
              <w:pStyle w:val="Compact"/>
              <w:jc w:val="left"/>
            </w:pPr>
            <w:r>
              <w:t xml:space="preserve">4</w:t>
            </w:r>
          </w:p>
        </w:tc>
        <w:tc>
          <w:tcPr/>
          <w:p>
            <w:pPr>
              <w:pStyle w:val="Compact"/>
              <w:jc w:val="left"/>
            </w:pPr>
            <w:r>
              <w:t xml:space="preserve">Education Administrator Compliance &amp; Accreditation Support. Preparation of all required documentation for the California Commission on Teacher Credentialing (CTC) annual review, accreditation filings with the Western Association of Schools and Colleges (WASC), and federal compliance reporting under the Every Student Succeeds Act (ESSA) for the United States Los Angeles district jurisdiction.</w:t>
            </w:r>
          </w:p>
        </w:tc>
        <w:tc>
          <w:tcPr/>
          <w:p>
            <w:pPr>
              <w:pStyle w:val="Compact"/>
              <w:jc w:val="left"/>
            </w:pPr>
            <w:r>
              <w:t xml:space="preserve">Apr 1 – Apr 30, 2025</w:t>
            </w:r>
          </w:p>
        </w:tc>
        <w:tc>
          <w:tcPr/>
          <w:p>
            <w:pPr>
              <w:pStyle w:val="Compact"/>
              <w:jc w:val="left"/>
            </w:pPr>
            <w:r>
              <w:t xml:space="preserve">72 hrs</w:t>
            </w:r>
          </w:p>
        </w:tc>
        <w:tc>
          <w:tcPr/>
          <w:p>
            <w:pPr>
              <w:pStyle w:val="Compact"/>
              <w:jc w:val="left"/>
            </w:pPr>
            <w:r>
              <w:t xml:space="preserve">$195.00/hr</w:t>
            </w:r>
          </w:p>
        </w:tc>
        <w:tc>
          <w:tcPr/>
          <w:p>
            <w:pPr>
              <w:pStyle w:val="Compact"/>
              <w:jc w:val="left"/>
            </w:pPr>
            <w:r>
              <w:t xml:space="preserve">$14,040.00</w:t>
            </w:r>
          </w:p>
        </w:tc>
      </w:tr>
      <w:tr>
        <w:tc>
          <w:tcPr/>
          <w:p>
            <w:pPr>
              <w:pStyle w:val="Compact"/>
              <w:jc w:val="left"/>
            </w:pPr>
            <w:r>
              <w:t xml:space="preserve">5</w:t>
            </w:r>
          </w:p>
        </w:tc>
        <w:tc>
          <w:tcPr/>
          <w:p>
            <w:pPr>
              <w:pStyle w:val="Compact"/>
              <w:jc w:val="left"/>
            </w:pPr>
            <w:r>
              <w:t xml:space="preserve">Education Administrator Community Engagement &amp; Stakeholder Liaison Services. Facilitation of six public community forums, three parent-teacher advisory board meetings, and two board-level presentations regarding the district's five-year strategic vision. All events conducted at venues within the United States Los Angeles city limits.</w:t>
            </w:r>
          </w:p>
        </w:tc>
        <w:tc>
          <w:tcPr/>
          <w:p>
            <w:pPr>
              <w:pStyle w:val="Compact"/>
              <w:jc w:val="left"/>
            </w:pPr>
            <w:r>
              <w:t xml:space="preserve">May 5 – May 30, 2025</w:t>
            </w:r>
          </w:p>
        </w:tc>
        <w:tc>
          <w:tcPr/>
          <w:p>
            <w:pPr>
              <w:pStyle w:val="Compact"/>
              <w:jc w:val="left"/>
            </w:pPr>
            <w:r>
              <w:t xml:space="preserve">48 hrs</w:t>
            </w:r>
          </w:p>
        </w:tc>
        <w:tc>
          <w:tcPr/>
          <w:p>
            <w:pPr>
              <w:pStyle w:val="Compact"/>
              <w:jc w:val="left"/>
            </w:pPr>
            <w:r>
              <w:t xml:space="preserve">$175.00/hr</w:t>
            </w:r>
          </w:p>
        </w:tc>
        <w:tc>
          <w:tcPr/>
          <w:p>
            <w:pPr>
              <w:pStyle w:val="Compact"/>
              <w:jc w:val="left"/>
            </w:pPr>
            <w:r>
              <w:t xml:space="preserve">$8,400.00</w:t>
            </w:r>
          </w:p>
        </w:tc>
      </w:tr>
      <w:tr>
        <w:tc>
          <w:tcPr/>
          <w:p>
            <w:pPr>
              <w:pStyle w:val="Compact"/>
              <w:jc w:val="left"/>
            </w:pPr>
            <w:r>
              <w:t xml:space="preserve">6</w:t>
            </w:r>
          </w:p>
        </w:tc>
        <w:tc>
          <w:tcPr/>
          <w:p>
            <w:pPr>
              <w:pStyle w:val="Compact"/>
              <w:jc w:val="left"/>
            </w:pPr>
            <w:r>
              <w:t xml:space="preserve">Education Administrator Technology Integration Assessment. Evaluation of the district's $12.4 million technology infrastructure, including 1:1 device programs, learning management systems, and network security protocols. Delivered a 60-page recommendations report with a phased implementation roadmap for the 2026-2028 cycle.</w:t>
            </w:r>
          </w:p>
        </w:tc>
        <w:tc>
          <w:tcPr/>
          <w:p>
            <w:pPr>
              <w:pStyle w:val="Compact"/>
              <w:jc w:val="left"/>
            </w:pPr>
            <w:r>
              <w:t xml:space="preserve">Jun 2 – Jun 10, 2025</w:t>
            </w:r>
          </w:p>
        </w:tc>
        <w:tc>
          <w:tcPr/>
          <w:p>
            <w:pPr>
              <w:pStyle w:val="Compact"/>
              <w:jc w:val="left"/>
            </w:pPr>
            <w:r>
              <w:t xml:space="preserve">40 hrs</w:t>
            </w:r>
          </w:p>
        </w:tc>
        <w:tc>
          <w:tcPr/>
          <w:p>
            <w:pPr>
              <w:pStyle w:val="Compact"/>
              <w:jc w:val="left"/>
            </w:pPr>
            <w:r>
              <w:t xml:space="preserve">$195.00/hr</w:t>
            </w:r>
          </w:p>
        </w:tc>
        <w:tc>
          <w:tcPr/>
          <w:p>
            <w:pPr>
              <w:pStyle w:val="Compact"/>
              <w:jc w:val="left"/>
            </w:pPr>
            <w:r>
              <w:t xml:space="preserve">$7,800.00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$98,200.00</w:t>
            </w:r>
          </w:p>
        </w:tc>
      </w:tr>
      <w:tr>
        <w:tc>
          <w:tcPr/>
          <w:p>
            <w:pPr>
              <w:pStyle w:val="Compact"/>
              <w:jc w:val="left"/>
            </w:pPr>
            <w:r>
              <w:t xml:space="preserve">Applicable Discount (Contract Rate)</w:t>
            </w:r>
          </w:p>
        </w:tc>
        <w:tc>
          <w:tcPr/>
          <w:p>
            <w:pPr>
              <w:pStyle w:val="Compact"/>
              <w:jc w:val="left"/>
            </w:pPr>
            <w:r>
              <w:t xml:space="preserve">-$4,910.00</w:t>
            </w:r>
          </w:p>
        </w:tc>
      </w:tr>
      <w:tr>
        <w:tc>
          <w:tcPr/>
          <w:p>
            <w:pPr>
              <w:pStyle w:val="Compact"/>
              <w:jc w:val="left"/>
            </w:pPr>
            <w:r>
              <w:t xml:space="preserve">Adjusted Subtotal</w:t>
            </w:r>
          </w:p>
        </w:tc>
        <w:tc>
          <w:tcPr/>
          <w:p>
            <w:pPr>
              <w:pStyle w:val="Compact"/>
              <w:jc w:val="left"/>
            </w:pPr>
            <w:r>
              <w:t xml:space="preserve">$93,290.00</w:t>
            </w:r>
          </w:p>
        </w:tc>
      </w:tr>
      <w:tr>
        <w:tc>
          <w:tcPr/>
          <w:p>
            <w:pPr>
              <w:pStyle w:val="Compact"/>
              <w:jc w:val="left"/>
            </w:pPr>
            <w:r>
              <w:t xml:space="preserve">California State Sales Tax (7.25%)</w:t>
            </w:r>
          </w:p>
        </w:tc>
        <w:tc>
          <w:tcPr/>
          <w:p>
            <w:pPr>
              <w:pStyle w:val="Compact"/>
              <w:jc w:val="left"/>
            </w:pPr>
            <w:r>
              <w:t xml:space="preserve">$6,763.53</w:t>
            </w:r>
          </w:p>
        </w:tc>
      </w:tr>
      <w:tr>
        <w:tc>
          <w:tcPr/>
          <w:p>
            <w:pPr>
              <w:pStyle w:val="Compact"/>
              <w:jc w:val="left"/>
            </w:pPr>
            <w:r>
              <w:t xml:space="preserve">Los Angeles County Municipal Tax (0.30%)</w:t>
            </w:r>
          </w:p>
        </w:tc>
        <w:tc>
          <w:tcPr/>
          <w:p>
            <w:pPr>
              <w:pStyle w:val="Compact"/>
              <w:jc w:val="left"/>
            </w:pPr>
            <w:r>
              <w:t xml:space="preserve">$279.87</w:t>
            </w:r>
          </w:p>
        </w:tc>
      </w:tr>
      <w:tr>
        <w:tc>
          <w:tcPr/>
          <w:p>
            <w:pPr>
              <w:pStyle w:val="Compact"/>
              <w:jc w:val="left"/>
            </w:pPr>
            <w:r>
              <w:t xml:space="preserve">TOTAL DUE (USD)</w:t>
            </w:r>
          </w:p>
        </w:tc>
        <w:tc>
          <w:tcPr/>
          <w:p>
            <w:pPr>
              <w:pStyle w:val="Compact"/>
              <w:jc w:val="left"/>
            </w:pPr>
            <w:r>
              <w:t xml:space="preserve">$100,333.40</w:t>
            </w:r>
          </w:p>
        </w:tc>
      </w:tr>
    </w:tbl>
    <w:p>
      <w:pPr>
        <w:pStyle w:val="BodyText"/>
      </w:pPr>
      <w:r>
        <w:rPr>
          <w:bCs/>
          <w:b/>
        </w:rPr>
        <w:t xml:space="preserve">Payment Instructions:</w:t>
      </w:r>
      <w:r>
        <w:t xml:space="preserve"> </w:t>
      </w:r>
      <w:r>
        <w:t xml:space="preserve">This Invoice must be settled in full within thirty (30) calendar days of the Invoice date, no later than July 12, 2025. Payment may be made via electronic funds transfer (EFT) to Meridian Educational Consulting Group, Account #4471-8829, Routing #121000248, Bank of America, Los Angeles, California. Alternatively, checks may be mailed to the billing address listed above. Please reference Invoice Number MEG-2025-00482 on all remittances. Late payments are subject to a 1.5% monthly interest charge in accordance with California Commercial Code Section 2310.</w:t>
      </w:r>
    </w:p>
    <w:bookmarkStart w:id="23" w:name="important-notes-regarding-this-invoice"/>
    <w:p>
      <w:pPr>
        <w:pStyle w:val="Heading3"/>
      </w:pPr>
      <w:r>
        <w:t xml:space="preserve">Important Notes Regarding This Invoice</w:t>
      </w:r>
    </w:p>
    <w:p>
      <w:pPr>
        <w:pStyle w:val="FirstParagraph"/>
      </w:pPr>
      <w:r>
        <w:t xml:space="preserve">1. This Invoice has been prepared in accordance with the professional services agreement (Contract #LAUSD-2024-EDU-3391) executed between Meridian Educational Consulting Group and the Los Angeles Unified School District on September 15, 2024. All services rendered by the Education Administrator were performed in full compliance with the scope of work defined in Appendix B of said agreement.</w:t>
      </w:r>
    </w:p>
    <w:p>
      <w:pPr>
        <w:pStyle w:val="BodyText"/>
      </w:pPr>
      <w:r>
        <w:t xml:space="preserve">2. The Education Administrator, Mr. Jonathan R. Caldwell, holds an active California Education Administrator credential (Single Subject, Administrative Services) issued by the California Commission on Teacher Credentialing. All professional services described in this Invoice were delivered under the supervision and accountability standards required for licensed Education Administrators operating within the United States Los Angeles public education system.</w:t>
      </w:r>
    </w:p>
    <w:p>
      <w:pPr>
        <w:pStyle w:val="BodyText"/>
      </w:pPr>
      <w:r>
        <w:t xml:space="preserve">3. All rates quoted in this Invoice reflect the negotiated hourly compensation established in the master services agreement. No additional fees, travel surcharges, or expedited processing charges have been applied, as all work was completed within the United States Los Angeles metropolitan area and within the contracted service window.</w:t>
      </w:r>
    </w:p>
    <w:p>
      <w:pPr>
        <w:pStyle w:val="BodyText"/>
      </w:pPr>
      <w:r>
        <w:t xml:space="preserve">4. This Invoice constitutes the final billing for the 2024-2025 fiscal year engagement. No further invoices will be issued under Contract #LAUSD-2024-EDU-3391. A new contract and corresponding invoice cycle will be initiated for the 2025-2026 academic year, subject to mutual agreement and Board of Education approval.</w:t>
      </w:r>
    </w:p>
    <w:p>
      <w:pPr>
        <w:pStyle w:val="BodyText"/>
      </w:pPr>
      <w:r>
        <w:t xml:space="preserve">5. Questions regarding this Invoice should be directed to the billing department at billing@meridianedconsulting.com or by telephone at (213) 555-0187, Monday through Friday, 8:00 AM to 5:00 PM Pacific Time. Please allow three to five business days for payment confirmation and receipt issuance.</w:t>
      </w:r>
    </w:p>
    <w:bookmarkEnd w:id="23"/>
    <w:p>
      <w:pPr>
        <w:pStyle w:val="BodyText"/>
      </w:pPr>
      <w:r>
        <w:rPr>
          <w:bCs/>
          <w:b/>
        </w:rPr>
        <w:t xml:space="preserve">Meridian Educational Consulting Group</w:t>
      </w:r>
      <w:r>
        <w:t xml:space="preserve"> </w:t>
      </w:r>
      <w:r>
        <w:t xml:space="preserve">| 4500 Wilshire Boulevard, Suite 1200, Los Angeles, CA 90016, United States</w:t>
      </w:r>
    </w:p>
    <w:p>
      <w:pPr>
        <w:pStyle w:val="BodyText"/>
      </w:pPr>
      <w:r>
        <w:t xml:space="preserve">This Invoice was generated electronically and is valid without a physical signature. By accepting payment, the recipient acknowledges receipt and agreement with all terms stated herein.</w:t>
      </w:r>
    </w:p>
    <w:p>
      <w:pPr>
        <w:pStyle w:val="BodyText"/>
      </w:pPr>
      <w:r>
        <w:t xml:space="preserve">Meridian Educational Consulting Group is a registered professional services firm operating in the State of California, United States. All Education Administrator services are delivered in compliance with California Education Code, Title 5 CCR, and applicable federal regulations governing educational administration in the United States Los Angeles district and beyond.</w:t>
      </w:r>
    </w:p>
    <w:p>
      <w:pPr>
        <w:pStyle w:val="BodyText"/>
      </w:pPr>
      <w:r>
        <w:t xml:space="preserve">© 2025 Meridian Educational Consulting Group. All rights reserved. Invoice MEG-2025-00482.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Education Administrator Services - United States Los Angeles</dc:title>
  <dc:creator/>
  <dc:language>en</dc:language>
  <cp:keywords/>
  <dcterms:created xsi:type="dcterms:W3CDTF">2026-10-10T09:23:02Z</dcterms:created>
  <dcterms:modified xsi:type="dcterms:W3CDTF">2026-10-10T09:23:02Z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