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Uzbekistan</w:t>
      </w:r>
      <w:r>
        <w:t xml:space="preserve"> </w:t>
      </w:r>
      <w:r>
        <w:t xml:space="preserve">Tashkent</w:t>
      </w:r>
    </w:p>
    <w:p>
      <w:pPr>
        <w:pStyle w:val="FirstParagraph"/>
      </w:pPr>
      <w:r>
        <w:t xml:space="preserve">INVOICE</w:t>
      </w:r>
    </w:p>
    <w:p>
      <w:pPr>
        <w:pStyle w:val="BodyText"/>
      </w:pPr>
      <w:r>
        <w:t xml:space="preserve">Education Administrator Professional Services</w:t>
      </w:r>
    </w:p>
    <w:p>
      <w:pPr>
        <w:pStyle w:val="BodyText"/>
      </w:pPr>
      <w:r>
        <w:t xml:space="preserve">Uzbekistan Tashkent | Republic of Uzbekistan</w:t>
      </w:r>
    </w:p>
    <w:p>
      <w:pPr>
        <w:pStyle w:val="BodyText"/>
      </w:pPr>
      <w:r>
        <w:rPr>
          <w:bCs/>
          <w:b/>
        </w:rPr>
        <w:t xml:space="preserve">Invoice No.:</w:t>
      </w:r>
      <w:r>
        <w:t xml:space="preserve"> </w:t>
      </w:r>
      <w:r>
        <w:t xml:space="preserve">INV-TSK-2025-04782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Status:</w:t>
      </w:r>
      <w:r>
        <w:t xml:space="preserve"> </w:t>
      </w:r>
      <w:r>
        <w:t xml:space="preserve">PENDING</w:t>
      </w:r>
    </w:p>
    <w:bookmarkStart w:id="20" w:name="bill-from-service-provider"/>
    <w:p>
      <w:pPr>
        <w:pStyle w:val="Heading3"/>
      </w:pPr>
      <w:r>
        <w:t xml:space="preserve">Bill From (Service Provider)</w:t>
      </w:r>
    </w:p>
    <w:p>
      <w:pPr>
        <w:pStyle w:val="FirstParagraph"/>
      </w:pPr>
      <w:r>
        <w:rPr>
          <w:bCs/>
          <w:b/>
        </w:rPr>
        <w:t xml:space="preserve">Tashkent Education Administration Services LLC</w:t>
      </w:r>
    </w:p>
    <w:p>
      <w:pPr>
        <w:pStyle w:val="BodyText"/>
      </w:pPr>
      <w:r>
        <w:t xml:space="preserve">Address: 42 Amir Temur Avenue, Yakkasaroy District</w:t>
      </w:r>
    </w:p>
    <w:p>
      <w:pPr>
        <w:pStyle w:val="BodyText"/>
      </w:pPr>
      <w:r>
        <w:t xml:space="preserve">Tashkent, 100011, Uzbekistan</w:t>
      </w:r>
    </w:p>
    <w:p>
      <w:pPr>
        <w:pStyle w:val="BodyText"/>
      </w:pPr>
      <w:r>
        <w:t xml:space="preserve">Tax ID (INN): 201547893</w:t>
      </w:r>
    </w:p>
    <w:p>
      <w:pPr>
        <w:pStyle w:val="BodyText"/>
      </w:pPr>
      <w:r>
        <w:t xml:space="preserve">Phone: +998 (71) 200-45-67</w:t>
      </w:r>
    </w:p>
    <w:p>
      <w:pPr>
        <w:pStyle w:val="BodyText"/>
      </w:pPr>
      <w:r>
        <w:t xml:space="preserve">Email: billing@teas-uz.com</w:t>
      </w:r>
    </w:p>
    <w:p>
      <w:pPr>
        <w:pStyle w:val="BodyText"/>
      </w:pPr>
      <w:r>
        <w:t xml:space="preserve">Bank: National Bank of Uzbekistan</w:t>
      </w:r>
    </w:p>
    <w:p>
      <w:pPr>
        <w:pStyle w:val="BodyText"/>
      </w:pPr>
      <w:r>
        <w:t xml:space="preserve">Account: 00097000001234567890</w:t>
      </w:r>
    </w:p>
    <w:bookmarkEnd w:id="20"/>
    <w:bookmarkStart w:id="21" w:name="bill-to-client"/>
    <w:p>
      <w:pPr>
        <w:pStyle w:val="Heading3"/>
      </w:pPr>
      <w:r>
        <w:t xml:space="preserve">Bill To (Client)</w:t>
      </w:r>
    </w:p>
    <w:p>
      <w:pPr>
        <w:pStyle w:val="FirstParagraph"/>
      </w:pPr>
      <w:r>
        <w:rPr>
          <w:bCs/>
          <w:b/>
        </w:rPr>
        <w:t xml:space="preserve">Uzbekistan National Institute of Educational Management</w:t>
      </w:r>
    </w:p>
    <w:p>
      <w:pPr>
        <w:pStyle w:val="BodyText"/>
      </w:pPr>
      <w:r>
        <w:t xml:space="preserve">Address: 15 Bunyodkor Street, Mirzo Ulugbek District</w:t>
      </w:r>
    </w:p>
    <w:p>
      <w:pPr>
        <w:pStyle w:val="BodyText"/>
      </w:pPr>
      <w:r>
        <w:t xml:space="preserve">Tashkent, 100174, Uzbekistan</w:t>
      </w:r>
    </w:p>
    <w:p>
      <w:pPr>
        <w:pStyle w:val="BodyText"/>
      </w:pPr>
      <w:r>
        <w:t xml:space="preserve">Tax ID (INN): 200987654</w:t>
      </w:r>
    </w:p>
    <w:p>
      <w:pPr>
        <w:pStyle w:val="BodyText"/>
      </w:pPr>
      <w:r>
        <w:t xml:space="preserve">Phone: +998 (71) 233-89-01</w:t>
      </w:r>
    </w:p>
    <w:p>
      <w:pPr>
        <w:pStyle w:val="BodyText"/>
      </w:pPr>
      <w:r>
        <w:t xml:space="preserve">Email: procurement@uinem.uz</w:t>
      </w:r>
    </w:p>
    <w:p>
      <w:pPr>
        <w:pStyle w:val="BodyText"/>
      </w:pPr>
      <w:r>
        <w:t xml:space="preserve">Attention: Director of Administrative Affairs</w:t>
      </w:r>
    </w:p>
    <w:bookmarkEnd w:id="21"/>
    <w:bookmarkStart w:id="22" w:name="X54ac9c2beeff5c7971813138c5a6adf45a83080"/>
    <w:p>
      <w:pPr>
        <w:pStyle w:val="Heading2"/>
      </w:pPr>
      <w:r>
        <w:t xml:space="preserve">Description of Services – Education Administrator Engagement</w:t>
      </w:r>
    </w:p>
    <w:p>
      <w:pPr>
        <w:pStyle w:val="FirstParagraph"/>
      </w:pPr>
      <w:r>
        <w:t xml:space="preserve">This Invoice pertains to the professional services rendered by a certified Education Administrator engaged by the client institution in Uzbekistan Tashkent. The Education Administrator was contracted to oversee academic operations, coordinate curriculum development, manage faculty scheduling, ensure compliance with the Ministry of Higher Education, Science and Innovation of the Republic of Uzbekistan regulations, and supervise student affairs across multiple departments. All services were delivered in accordance with the terms outlined in Contract No. CTR-2025-0312, executed in Tashkent, Uzbekistan.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Price (UZS)</w:t>
            </w:r>
          </w:p>
        </w:tc>
        <w:tc>
          <w:tcPr/>
          <w:p>
            <w:pPr>
              <w:pStyle w:val="Compact"/>
              <w:jc w:val="left"/>
            </w:pPr>
            <w:r>
              <w:t xml:space="preserve">Amount (UZS)</w:t>
            </w:r>
          </w:p>
        </w:tc>
      </w:tr>
      <w:tr>
        <w:tc>
          <w:tcPr/>
          <w:p>
            <w:pPr>
              <w:pStyle w:val="Compact"/>
              <w:jc w:val="left"/>
            </w:pPr>
            <w:r>
              <w:t xml:space="preserve">1</w:t>
            </w:r>
          </w:p>
        </w:tc>
        <w:tc>
          <w:tcPr/>
          <w:p>
            <w:pPr>
              <w:pStyle w:val="Compact"/>
              <w:jc w:val="left"/>
            </w:pPr>
            <w:r>
              <w:t xml:space="preserve">Education Administrator – Monthly Academic Operations Oversight: Supervision of teaching schedules, examination coordination, and academic calendar management for the Spring 2025 semester in Uzbekistan Tashkent.</w:t>
            </w:r>
          </w:p>
        </w:tc>
        <w:tc>
          <w:tcPr/>
          <w:p>
            <w:pPr>
              <w:pStyle w:val="Compact"/>
              <w:jc w:val="left"/>
            </w:pPr>
            <w:r>
              <w:t xml:space="preserve">Mar 2025</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2</w:t>
            </w:r>
          </w:p>
        </w:tc>
        <w:tc>
          <w:tcPr/>
          <w:p>
            <w:pPr>
              <w:pStyle w:val="Compact"/>
              <w:jc w:val="left"/>
            </w:pPr>
            <w:r>
              <w:t xml:space="preserve">Education Administrator – Curriculum Review and Accreditation Support: Conducted comprehensive review of 14 departmental curricula to ensure alignment with national standards set by the Uzbekistan Ministry of Education.</w:t>
            </w:r>
          </w:p>
        </w:tc>
        <w:tc>
          <w:tcPr/>
          <w:p>
            <w:pPr>
              <w:pStyle w:val="Compact"/>
              <w:jc w:val="left"/>
            </w:pPr>
            <w:r>
              <w:t xml:space="preserve">Apr 2025</w:t>
            </w:r>
          </w:p>
        </w:tc>
        <w:tc>
          <w:tcPr/>
          <w:p>
            <w:pPr>
              <w:pStyle w:val="Compact"/>
              <w:jc w:val="left"/>
            </w:pPr>
            <w:r>
              <w:t xml:space="preserve">1</w:t>
            </w:r>
          </w:p>
        </w:tc>
        <w:tc>
          <w:tcPr/>
          <w:p>
            <w:pPr>
              <w:pStyle w:val="Compact"/>
              <w:jc w:val="left"/>
            </w:pPr>
            <w:r>
              <w:t xml:space="preserve">8,750,000</w:t>
            </w:r>
          </w:p>
        </w:tc>
        <w:tc>
          <w:tcPr/>
          <w:p>
            <w:pPr>
              <w:pStyle w:val="Compact"/>
              <w:jc w:val="left"/>
            </w:pPr>
            <w:r>
              <w:t xml:space="preserve">8,750,000</w:t>
            </w:r>
          </w:p>
        </w:tc>
      </w:tr>
      <w:tr>
        <w:tc>
          <w:tcPr/>
          <w:p>
            <w:pPr>
              <w:pStyle w:val="Compact"/>
              <w:jc w:val="left"/>
            </w:pPr>
            <w:r>
              <w:t xml:space="preserve">3</w:t>
            </w:r>
          </w:p>
        </w:tc>
        <w:tc>
          <w:tcPr/>
          <w:p>
            <w:pPr>
              <w:pStyle w:val="Compact"/>
              <w:jc w:val="left"/>
            </w:pPr>
            <w:r>
              <w:t xml:space="preserve">Education Administrator – Faculty and Staff Coordination: Managed recruitment processes, performance evaluations, and professional development planning for 85 teaching staff members across the Tashkent campus.</w:t>
            </w:r>
          </w:p>
        </w:tc>
        <w:tc>
          <w:tcPr/>
          <w:p>
            <w:pPr>
              <w:pStyle w:val="Compact"/>
              <w:jc w:val="left"/>
            </w:pPr>
            <w:r>
              <w:t xml:space="preserve">Apr 2025</w:t>
            </w:r>
          </w:p>
        </w:tc>
        <w:tc>
          <w:tcPr/>
          <w:p>
            <w:pPr>
              <w:pStyle w:val="Compact"/>
              <w:jc w:val="left"/>
            </w:pPr>
            <w:r>
              <w:t xml:space="preserve">1</w:t>
            </w:r>
          </w:p>
        </w:tc>
        <w:tc>
          <w:tcPr/>
          <w:p>
            <w:pPr>
              <w:pStyle w:val="Compact"/>
              <w:jc w:val="left"/>
            </w:pPr>
            <w:r>
              <w:t xml:space="preserve">6,200,000</w:t>
            </w:r>
          </w:p>
        </w:tc>
        <w:tc>
          <w:tcPr/>
          <w:p>
            <w:pPr>
              <w:pStyle w:val="Compact"/>
              <w:jc w:val="left"/>
            </w:pPr>
            <w:r>
              <w:t xml:space="preserve">6,200,000</w:t>
            </w:r>
          </w:p>
        </w:tc>
      </w:tr>
      <w:tr>
        <w:tc>
          <w:tcPr/>
          <w:p>
            <w:pPr>
              <w:pStyle w:val="Compact"/>
              <w:jc w:val="left"/>
            </w:pPr>
            <w:r>
              <w:t xml:space="preserve">4</w:t>
            </w:r>
          </w:p>
        </w:tc>
        <w:tc>
          <w:tcPr/>
          <w:p>
            <w:pPr>
              <w:pStyle w:val="Compact"/>
              <w:jc w:val="left"/>
            </w:pPr>
            <w:r>
              <w:t xml:space="preserve">Education Administrator – Student Affairs and Enrollment Management: Oversaw enrollment of 3,200 new students, managed scholarship allocations, and coordinated with the Uzbekistan Tashkent regional education authority for student registration compliance.</w:t>
            </w:r>
          </w:p>
        </w:tc>
        <w:tc>
          <w:tcPr/>
          <w:p>
            <w:pPr>
              <w:pStyle w:val="Compact"/>
              <w:jc w:val="left"/>
            </w:pPr>
            <w:r>
              <w:t xml:space="preserve">May 2025</w:t>
            </w:r>
          </w:p>
        </w:tc>
        <w:tc>
          <w:tcPr/>
          <w:p>
            <w:pPr>
              <w:pStyle w:val="Compact"/>
              <w:jc w:val="left"/>
            </w:pPr>
            <w:r>
              <w:t xml:space="preserve">1</w:t>
            </w:r>
          </w:p>
        </w:tc>
        <w:tc>
          <w:tcPr/>
          <w:p>
            <w:pPr>
              <w:pStyle w:val="Compact"/>
              <w:jc w:val="left"/>
            </w:pPr>
            <w:r>
              <w:t xml:space="preserve">9,400,000</w:t>
            </w:r>
          </w:p>
        </w:tc>
        <w:tc>
          <w:tcPr/>
          <w:p>
            <w:pPr>
              <w:pStyle w:val="Compact"/>
              <w:jc w:val="left"/>
            </w:pPr>
            <w:r>
              <w:t xml:space="preserve">9,400,000</w:t>
            </w:r>
          </w:p>
        </w:tc>
      </w:tr>
      <w:tr>
        <w:tc>
          <w:tcPr/>
          <w:p>
            <w:pPr>
              <w:pStyle w:val="Compact"/>
              <w:jc w:val="left"/>
            </w:pPr>
            <w:r>
              <w:t xml:space="preserve">5</w:t>
            </w:r>
          </w:p>
        </w:tc>
        <w:tc>
          <w:tcPr/>
          <w:p>
            <w:pPr>
              <w:pStyle w:val="Compact"/>
              <w:jc w:val="left"/>
            </w:pPr>
            <w:r>
              <w:t xml:space="preserve">Education Administrator – Regulatory Compliance and Reporting: Prepared and submitted quarterly compliance reports to the State Committee for Education of the Republic of Uzbekistan, ensuring full adherence to national educational legislation.</w:t>
            </w:r>
          </w:p>
        </w:tc>
        <w:tc>
          <w:tcPr/>
          <w:p>
            <w:pPr>
              <w:pStyle w:val="Compact"/>
              <w:jc w:val="left"/>
            </w:pPr>
            <w:r>
              <w:t xml:space="preserve">May 2025</w:t>
            </w:r>
          </w:p>
        </w:tc>
        <w:tc>
          <w:tcPr/>
          <w:p>
            <w:pPr>
              <w:pStyle w:val="Compact"/>
              <w:jc w:val="left"/>
            </w:pPr>
            <w:r>
              <w:t xml:space="preserve">1</w:t>
            </w:r>
          </w:p>
        </w:tc>
        <w:tc>
          <w:tcPr/>
          <w:p>
            <w:pPr>
              <w:pStyle w:val="Compact"/>
              <w:jc w:val="left"/>
            </w:pPr>
            <w:r>
              <w:t xml:space="preserve">5,800,000</w:t>
            </w:r>
          </w:p>
        </w:tc>
        <w:tc>
          <w:tcPr/>
          <w:p>
            <w:pPr>
              <w:pStyle w:val="Compact"/>
              <w:jc w:val="left"/>
            </w:pPr>
            <w:r>
              <w:t xml:space="preserve">5,800,000</w:t>
            </w:r>
          </w:p>
        </w:tc>
      </w:tr>
      <w:tr>
        <w:tc>
          <w:tcPr/>
          <w:p>
            <w:pPr>
              <w:pStyle w:val="Compact"/>
              <w:jc w:val="left"/>
            </w:pPr>
            <w:r>
              <w:t xml:space="preserve">6</w:t>
            </w:r>
          </w:p>
        </w:tc>
        <w:tc>
          <w:tcPr/>
          <w:p>
            <w:pPr>
              <w:pStyle w:val="Compact"/>
              <w:jc w:val="left"/>
            </w:pPr>
            <w:r>
              <w:t xml:space="preserve">Education Administrator – International Partnership Coordination: Facilitated academic exchange agreements with three partner institutions in Central Asia and Europe, including visa processing support for visiting scholars in Uzbekistan Tashkent.</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7,350,000</w:t>
            </w:r>
          </w:p>
        </w:tc>
        <w:tc>
          <w:tcPr/>
          <w:p>
            <w:pPr>
              <w:pStyle w:val="Compact"/>
              <w:jc w:val="left"/>
            </w:pPr>
            <w:r>
              <w:t xml:space="preserve">7,350,000</w:t>
            </w:r>
          </w:p>
        </w:tc>
      </w:tr>
      <w:tr>
        <w:tc>
          <w:tcPr/>
          <w:p>
            <w:pPr>
              <w:pStyle w:val="Compact"/>
              <w:jc w:val="left"/>
            </w:pPr>
            <w:r>
              <w:t xml:space="preserve">7</w:t>
            </w:r>
          </w:p>
        </w:tc>
        <w:tc>
          <w:tcPr/>
          <w:p>
            <w:pPr>
              <w:pStyle w:val="Compact"/>
              <w:jc w:val="left"/>
            </w:pPr>
            <w:r>
              <w:t xml:space="preserve">Education Administrator – Infrastructure and Resource Planning: Assessed classroom capacity, laboratory equipment needs, and digital learning infrastructure upgrades for the upcoming academic year at the Tashkent main campus.</w:t>
            </w:r>
          </w:p>
        </w:tc>
        <w:tc>
          <w:tcPr/>
          <w:p>
            <w:pPr>
              <w:pStyle w:val="Compact"/>
              <w:jc w:val="left"/>
            </w:pPr>
            <w:r>
              <w:t xml:space="preserve">Jun 2025</w:t>
            </w:r>
          </w:p>
        </w:tc>
        <w:tc>
          <w:tcPr/>
          <w:p>
            <w:pPr>
              <w:pStyle w:val="Compact"/>
              <w:jc w:val="left"/>
            </w:pPr>
            <w:r>
              <w:t xml:space="preserve">1</w:t>
            </w:r>
          </w:p>
        </w:tc>
        <w:tc>
          <w:tcPr/>
          <w:p>
            <w:pPr>
              <w:pStyle w:val="Compact"/>
              <w:jc w:val="left"/>
            </w:pPr>
            <w:r>
              <w:t xml:space="preserve">4,900,000</w:t>
            </w:r>
          </w:p>
        </w:tc>
        <w:tc>
          <w:tcPr/>
          <w:p>
            <w:pPr>
              <w:pStyle w:val="Compact"/>
              <w:jc w:val="left"/>
            </w:pPr>
            <w:r>
              <w:t xml:space="preserve">4,900,000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54,900,000 UZS</w:t>
            </w:r>
          </w:p>
        </w:tc>
      </w:tr>
      <w:tr>
        <w:tc>
          <w:tcPr/>
          <w:p>
            <w:pPr>
              <w:pStyle w:val="Compact"/>
              <w:jc w:val="left"/>
            </w:pPr>
            <w:r>
              <w:t xml:space="preserve">VAT (12% – Republic of Uzbekistan)</w:t>
            </w:r>
          </w:p>
        </w:tc>
        <w:tc>
          <w:tcPr/>
          <w:p>
            <w:pPr>
              <w:pStyle w:val="Compact"/>
              <w:jc w:val="right"/>
            </w:pPr>
            <w:r>
              <w:t xml:space="preserve">6,588,000 UZS</w:t>
            </w:r>
          </w:p>
        </w:tc>
      </w:tr>
      <w:tr>
        <w:tc>
          <w:tcPr/>
          <w:p>
            <w:pPr>
              <w:pStyle w:val="Compact"/>
              <w:jc w:val="left"/>
            </w:pPr>
            <w:r>
              <w:t xml:space="preserve">Discount (Early Payment – 2%)</w:t>
            </w:r>
          </w:p>
        </w:tc>
        <w:tc>
          <w:tcPr/>
          <w:p>
            <w:pPr>
              <w:pStyle w:val="Compact"/>
              <w:jc w:val="right"/>
            </w:pPr>
            <w:r>
              <w:t xml:space="preserve">-1,098,000 UZS</w:t>
            </w:r>
          </w:p>
        </w:tc>
      </w:tr>
      <w:tr>
        <w:tc>
          <w:tcPr/>
          <w:p>
            <w:pPr>
              <w:pStyle w:val="Compact"/>
              <w:jc w:val="left"/>
            </w:pPr>
            <w:r>
              <w:t xml:space="preserve">TOTAL AMOUNT DUE</w:t>
            </w:r>
          </w:p>
        </w:tc>
        <w:tc>
          <w:tcPr/>
          <w:p>
            <w:pPr>
              <w:pStyle w:val="Compact"/>
              <w:jc w:val="right"/>
            </w:pPr>
            <w:r>
              <w:t xml:space="preserve">60,390,000 UZS</w:t>
            </w:r>
          </w:p>
        </w:tc>
      </w:tr>
    </w:tbl>
    <w:bookmarkEnd w:id="22"/>
    <w:bookmarkStart w:id="23" w:name="payment-terms-and-instructions"/>
    <w:p>
      <w:pPr>
        <w:pStyle w:val="Heading2"/>
      </w:pPr>
      <w:r>
        <w:t xml:space="preserve">Payment Terms and Instructions</w:t>
      </w:r>
    </w:p>
    <w:p>
      <w:pPr>
        <w:pStyle w:val="FirstParagraph"/>
      </w:pPr>
      <w:r>
        <w:rPr>
          <w:bCs/>
          <w:b/>
        </w:rPr>
        <w:t xml:space="preserve">Payment Method:</w:t>
      </w:r>
      <w:r>
        <w:t xml:space="preserve"> </w:t>
      </w:r>
      <w:r>
        <w:t xml:space="preserve">Bank transfer to the account specified in the Bill From section above. All payments related to this Invoice must be processed through the National Bank of Uzbekistan or any licensed commercial bank operating in Tashkent, Uzbekistan.</w:t>
      </w:r>
    </w:p>
    <w:p>
      <w:pPr>
        <w:pStyle w:val="BodyText"/>
      </w:pPr>
      <w:r>
        <w:rPr>
          <w:bCs/>
          <w:b/>
        </w:rPr>
        <w:t xml:space="preserve">Payment Deadline:</w:t>
      </w:r>
      <w:r>
        <w:t xml:space="preserve"> </w:t>
      </w:r>
      <w:r>
        <w:t xml:space="preserve">The full amount of 60,390,000 UZS (Sixty Million Three Hundred Ninety Thousand Uzbekistani Soms) is due no later than 30 June 2025. Late payments will incur a penalty of 0.5% per calendar day as stipulated under the Civil Code of the Republic of Uzbekistan.</w:t>
      </w:r>
    </w:p>
    <w:p>
      <w:pPr>
        <w:pStyle w:val="BodyText"/>
      </w:pPr>
      <w:r>
        <w:rPr>
          <w:bCs/>
          <w:b/>
        </w:rPr>
        <w:t xml:space="preserve">Reference:</w:t>
      </w:r>
      <w:r>
        <w:t xml:space="preserve"> </w:t>
      </w:r>
      <w:r>
        <w:t xml:space="preserve">Please include Invoice number INV-TSK-2025-04782 in the payment reference field to ensure proper reconciliation of this Education Administrator service engagement.</w:t>
      </w:r>
    </w:p>
    <w:p>
      <w:pPr>
        <w:pStyle w:val="BodyText"/>
      </w:pPr>
      <w:r>
        <w:rPr>
          <w:bCs/>
          <w:b/>
        </w:rPr>
        <w:t xml:space="preserve">Currency:</w:t>
      </w:r>
      <w:r>
        <w:t xml:space="preserve"> </w:t>
      </w:r>
      <w:r>
        <w:t xml:space="preserve">All amounts are denominated in Uzbekistani Som (UZS). For international remittances, the equivalent amount in USD or EUR shall be calculated at the National Bank of Uzbekistan's official exchange rate on the date of payment.</w:t>
      </w:r>
    </w:p>
    <w:bookmarkEnd w:id="23"/>
    <w:bookmarkStart w:id="24" w:name="terms-and-conditions"/>
    <w:p>
      <w:pPr>
        <w:pStyle w:val="Heading2"/>
      </w:pPr>
      <w:r>
        <w:t xml:space="preserve">Terms and Conditions</w:t>
      </w:r>
    </w:p>
    <w:p>
      <w:pPr>
        <w:pStyle w:val="FirstParagraph"/>
      </w:pPr>
      <w:r>
        <w:t xml:space="preserve">1. This Invoice is issued in accordance with the Tax Code of the Republic of Uzbekistan and applicable accounting standards in Uzbekistan Tashkent. The Education Administrator services described herein were performed under a valid labor and service contract registered with the Tashkent City Executive Committee.</w:t>
      </w:r>
    </w:p>
    <w:p>
      <w:pPr>
        <w:pStyle w:val="BodyText"/>
      </w:pPr>
      <w:r>
        <w:t xml:space="preserve">2. The Education Administrator's professional services are non-refundable once rendered. Any disputes arising from this Invoice shall be resolved through the Tashkent City Arbitration Court in accordance with Uzbekistan's commercial arbitration procedures.</w:t>
      </w:r>
    </w:p>
    <w:p>
      <w:pPr>
        <w:pStyle w:val="BodyText"/>
      </w:pPr>
      <w:r>
        <w:t xml:space="preserve">3. The client acknowledges that the Education Administrator operated with full authority to represent the institution in dealings with the Ministry of Higher Education, Science and Innovation, the State Committee for Education, and all relevant governmental bodies in Uzbekistan Tashkent during the service period.</w:t>
      </w:r>
    </w:p>
    <w:p>
      <w:pPr>
        <w:pStyle w:val="BodyText"/>
      </w:pPr>
      <w:r>
        <w:t xml:space="preserve">4. This Invoice constitutes the final and complete billing for all Education Administrator services rendered between 1 March 2025 and 30 June 2025. No additional charges shall be levied for the period covered by this document.</w:t>
      </w:r>
    </w:p>
    <w:p>
      <w:pPr>
        <w:pStyle w:val="BodyText"/>
      </w:pPr>
      <w:r>
        <w:t xml:space="preserve">5. The service provider reserves the right to issue a corrected Invoice in the event of clerical errors. The corrected Invoice shall bear the same Invoice number with a revision suffix appended.</w:t>
      </w:r>
    </w:p>
    <w:bookmarkEnd w:id="24"/>
    <w:bookmarkStart w:id="25" w:name="authorized-signatures"/>
    <w:p>
      <w:pPr>
        <w:pStyle w:val="Heading2"/>
      </w:pPr>
      <w:r>
        <w:t xml:space="preserve">Authorized Signatures</w:t>
      </w:r>
    </w:p>
    <w:p>
      <w:pPr>
        <w:pStyle w:val="FirstParagraph"/>
      </w:pPr>
      <w:r>
        <w:t xml:space="preserve">Prepared by:</w:t>
      </w:r>
    </w:p>
    <w:p>
      <w:pPr>
        <w:pStyle w:val="BodyText"/>
      </w:pPr>
      <w:r>
        <w:t xml:space="preserve">Dilnoza Karimova – Finance Manager</w:t>
      </w:r>
    </w:p>
    <w:p>
      <w:pPr>
        <w:pStyle w:val="BodyText"/>
      </w:pPr>
      <w:r>
        <w:t xml:space="preserve">Tashkent Education Administration Services LLC</w:t>
      </w:r>
    </w:p>
    <w:p>
      <w:pPr>
        <w:pStyle w:val="BodyText"/>
      </w:pPr>
      <w:r>
        <w:t xml:space="preserve">Approved by:</w:t>
      </w:r>
    </w:p>
    <w:p>
      <w:pPr>
        <w:pStyle w:val="BodyText"/>
      </w:pPr>
      <w:r>
        <w:t xml:space="preserve">Javohir Rahimov – Chief Education Administrator</w:t>
      </w:r>
    </w:p>
    <w:p>
      <w:pPr>
        <w:pStyle w:val="BodyText"/>
      </w:pPr>
      <w:r>
        <w:t xml:space="preserve">Uzbekistan National Institute of Educational Management</w:t>
      </w:r>
    </w:p>
    <w:p>
      <w:pPr>
        <w:pStyle w:val="BodyText"/>
      </w:pPr>
      <w:r>
        <w:t xml:space="preserve">This Invoice was generated electronically and is valid without a physical stamp in accordance with the Electronic Document Law of the Republic of Uzbekistan (2021 amendment).</w:t>
      </w:r>
    </w:p>
    <w:p>
      <w:pPr>
        <w:pStyle w:val="BodyText"/>
      </w:pPr>
      <w:r>
        <w:t xml:space="preserve">Tashkent Education Administration Services LLC | 42 Amir Temur Avenue, Tashkent 100011, Uzbekistan | +998 (71) 200-45-67 | billing@teas-uz.com</w:t>
      </w:r>
    </w:p>
    <w:p>
      <w:pPr>
        <w:pStyle w:val="BodyText"/>
      </w:pPr>
      <w:r>
        <w:t xml:space="preserve">Document Reference: INV-TSK-2025-04782 | Education Administrator Services | Uzbekistan Tashkent | June 2025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Uzbekistan Tashkent</dc:title>
  <dc:creator/>
  <dc:language>en</dc:language>
  <cp:keywords/>
  <dcterms:created xsi:type="dcterms:W3CDTF">2026-10-10T08:38:13Z</dcterms:created>
  <dcterms:modified xsi:type="dcterms:W3CDTF">2026-10-10T08:38:13Z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