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electrocórdoba-engineering-solutions"/>
    <w:p>
      <w:pPr>
        <w:pStyle w:val="Heading1"/>
      </w:pPr>
      <w:r>
        <w:t xml:space="preserve">ElectroCórdoba Engineering Solutions</w:t>
      </w:r>
    </w:p>
    <w:p>
      <w:pPr>
        <w:pStyle w:val="FirstParagraph"/>
      </w:pPr>
      <w:r>
        <w:rPr>
          <w:bCs/>
          <w:b/>
        </w:rPr>
        <w:t xml:space="preserve">Professional Electrical Engineering Services</w:t>
      </w:r>
    </w:p>
    <w:p>
      <w:pPr>
        <w:pStyle w:val="BodyText"/>
      </w:pPr>
      <w:r>
        <w:t xml:space="preserve">Av. Colón 1234, Piso 5, Of. 502</w:t>
      </w:r>
    </w:p>
    <w:p>
      <w:pPr>
        <w:pStyle w:val="BodyText"/>
      </w:pPr>
      <w:r>
        <w:t xml:space="preserve">X5000ABC Córdoba, Argentina</w:t>
      </w:r>
    </w:p>
    <w:p>
      <w:pPr>
        <w:pStyle w:val="BodyText"/>
      </w:pPr>
      <w:r>
        <w:t xml:space="preserve">Phone: +54 351 456-7890</w:t>
      </w:r>
    </w:p>
    <w:p>
      <w:pPr>
        <w:pStyle w:val="BodyText"/>
      </w:pPr>
      <w:r>
        <w:t xml:space="preserve">Email: billing@electrocordoba.com.ar</w:t>
      </w:r>
    </w:p>
    <w:p>
      <w:pPr>
        <w:pStyle w:val="BodyText"/>
      </w:pPr>
      <w:r>
        <w:t xml:space="preserve">CUIT: 30-71234567-8</w:t>
      </w:r>
    </w:p>
    <w:p>
      <w:pPr>
        <w:pStyle w:val="BodyText"/>
      </w:pPr>
      <w:r>
        <w:t xml:space="preserve">Matrícula Profesional: 12345 (Colegio de Ingenieros de Córdoba)</w:t>
      </w:r>
    </w:p>
    <w:bookmarkEnd w:id="20"/>
    <w:bookmarkStart w:id="21" w:name="invoice"/>
    <w:p>
      <w:pPr>
        <w:pStyle w:val="Heading2"/>
      </w:pPr>
      <w:r>
        <w:t xml:space="preserve">INVOICE</w:t>
      </w:r>
    </w:p>
    <w:p>
      <w:pPr>
        <w:pStyle w:val="FirstParagraph"/>
      </w:pPr>
      <w:r>
        <w:t xml:space="preserve">Invoice Number: INV-2024-0089</w:t>
      </w:r>
    </w:p>
    <w:p>
      <w:pPr>
        <w:pStyle w:val="BodyText"/>
      </w:pPr>
      <w:r>
        <w:t xml:space="preserve">Date: October 15, 2024</w:t>
      </w:r>
    </w:p>
    <w:p>
      <w:pPr>
        <w:pStyle w:val="BodyText"/>
      </w:pPr>
      <w:r>
        <w:t xml:space="preserve">Due Date: November 15, 2024</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Industrias Tecnológicas del Litoral S.A.</w:t>
      </w:r>
    </w:p>
    <w:p>
      <w:pPr>
        <w:pStyle w:val="BodyText"/>
      </w:pPr>
      <w:r>
        <w:t xml:space="preserve">Attn: Procurement Department</w:t>
      </w:r>
    </w:p>
    <w:p>
      <w:pPr>
        <w:pStyle w:val="BodyText"/>
      </w:pPr>
      <w:r>
        <w:t xml:space="preserve">Parque Industrial Córdoba, Lote 45</w:t>
      </w:r>
    </w:p>
    <w:p>
      <w:pPr>
        <w:pStyle w:val="BodyText"/>
      </w:pPr>
      <w:r>
        <w:t xml:space="preserve">CP 5152, Córdoba, Argentina</w:t>
      </w:r>
    </w:p>
    <w:p>
      <w:pPr>
        <w:pStyle w:val="BodyText"/>
      </w:pPr>
      <w:r>
        <w:t xml:space="preserve">CUIT: 30-65432109-7</w:t>
      </w:r>
    </w:p>
    <w:p>
      <w:pPr>
        <w:pStyle w:val="BodyText"/>
      </w:pPr>
      <w:r>
        <w:t xml:space="preserve">Contact: Carlos Mendoza</w:t>
      </w:r>
    </w:p>
    <w:p>
      <w:pPr>
        <w:pStyle w:val="BodyText"/>
      </w:pPr>
      <w:r>
        <w:t xml:space="preserve">Email: compras@itl.com.ar</w:t>
      </w:r>
    </w:p>
    <w:bookmarkEnd w:id="22"/>
    <w:bookmarkStart w:id="23" w:name="project-location"/>
    <w:p>
      <w:pPr>
        <w:pStyle w:val="Heading3"/>
      </w:pPr>
      <w:r>
        <w:t xml:space="preserve">Project Location:</w:t>
      </w:r>
    </w:p>
    <w:p>
      <w:pPr>
        <w:pStyle w:val="FirstParagraph"/>
      </w:pPr>
      <w:r>
        <w:rPr>
          <w:bCs/>
          <w:b/>
        </w:rPr>
        <w:t xml:space="preserve">Manufacturing Plant Expansion</w:t>
      </w:r>
    </w:p>
    <w:p>
      <w:pPr>
        <w:pStyle w:val="BodyText"/>
      </w:pPr>
      <w:r>
        <w:t xml:space="preserve">Parque Industrial Córdoba</w:t>
      </w:r>
    </w:p>
    <w:p>
      <w:pPr>
        <w:pStyle w:val="BodyText"/>
      </w:pPr>
      <w:r>
        <w:t xml:space="preserve">Barrio El Puesto, Córdoba, Argentina</w:t>
      </w:r>
    </w:p>
    <w:p>
      <w:pPr>
        <w:pStyle w:val="BodyText"/>
      </w:pPr>
      <w:r>
        <w:t xml:space="preserve">Project Reference: EXP-2024-MFG-03</w:t>
      </w:r>
    </w:p>
    <w:p>
      <w:pPr>
        <w:pStyle w:val="BodyText"/>
      </w:pPr>
      <w:r>
        <w:t xml:space="preserve">Site Supervisor: Ing. Roberto Fernández</w:t>
      </w:r>
    </w:p>
    <w:bookmarkEnd w:id="23"/>
    <w:bookmarkStart w:id="24" w:name="X73bdb9cb820b58b01b1739f1477de15765dfae0"/>
    <w:p>
      <w:pPr>
        <w:pStyle w:val="Heading3"/>
      </w:pPr>
      <w:r>
        <w:t xml:space="preserve">Professional Electrical Engineering Services Rendered</w:t>
      </w:r>
    </w:p>
    <w:p>
      <w:pPr>
        <w:pStyle w:val="FirstParagraph"/>
      </w:pPr>
      <w:r>
        <w:t xml:space="preserve">The following invoice details comprehensive electrical engineering consulting, design, and supervision services provided by a licensed Electrical Engineer registered with the Colegio de Ingenieros de Córdoba. All services comply with the Argentine Electrical Code (IRAM) and local regulations applicable in Córdoba, Argentina.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(ARS)</w:t>
            </w:r>
          </w:p>
        </w:tc>
        <w:tc>
          <w:tcPr/>
          <w:p>
            <w:pPr>
              <w:pStyle w:val="Compact"/>
              <w:jc w:val="left"/>
            </w:pPr>
            <w:r>
              <w:t xml:space="preserve">Amount (ARS)</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Electrical Load Analysis and Feasibility Study</w:t>
            </w:r>
            <w:r>
              <w:br/>
            </w:r>
            <w:r>
              <w:t xml:space="preserve">Comprehensive assessment of existing electrical infrastructure at the Córdoba facility. Included calculation of maximum demand, power factor analysis, and harmonic distortion evaluation. Prepared detailed report recommending upgrades to support new manufacturing equipment.</w:t>
            </w:r>
          </w:p>
        </w:tc>
        <w:tc>
          <w:tcPr/>
          <w:p>
            <w:pPr>
              <w:pStyle w:val="Compact"/>
              <w:jc w:val="left"/>
            </w:pPr>
            <w:r>
              <w:t xml:space="preserve">40</w:t>
            </w:r>
          </w:p>
        </w:tc>
        <w:tc>
          <w:tcPr/>
          <w:p>
            <w:pPr>
              <w:pStyle w:val="Compact"/>
              <w:jc w:val="left"/>
            </w:pPr>
            <w:r>
              <w:t xml:space="preserve">45,000.00</w:t>
            </w:r>
          </w:p>
        </w:tc>
        <w:tc>
          <w:tcPr/>
          <w:p>
            <w:pPr>
              <w:pStyle w:val="Compact"/>
              <w:jc w:val="left"/>
            </w:pPr>
            <w:r>
              <w:t xml:space="preserve">1,800,000.00</w:t>
            </w:r>
          </w:p>
        </w:tc>
        <w:tc>
          <w:tcPr/>
          <w:p>
            <w:pPr>
              <w:pStyle w:val="Compact"/>
              <w:jc w:val="left"/>
            </w:pPr>
            <w:r>
              <w:t xml:space="preserve">378,000.00</w:t>
            </w:r>
          </w:p>
        </w:tc>
      </w:tr>
      <w:tr>
        <w:tc>
          <w:tcPr/>
          <w:p>
            <w:pPr>
              <w:pStyle w:val="Compact"/>
              <w:jc w:val="left"/>
            </w:pPr>
            <w:r>
              <w:t xml:space="preserve">2</w:t>
            </w:r>
          </w:p>
        </w:tc>
        <w:tc>
          <w:tcPr/>
          <w:p>
            <w:pPr>
              <w:pStyle w:val="Compact"/>
              <w:jc w:val="left"/>
            </w:pPr>
            <w:r>
              <w:rPr>
                <w:bCs/>
                <w:b/>
              </w:rPr>
              <w:t xml:space="preserve">Single-Line Diagrams and Electrical Layout Design</w:t>
            </w:r>
            <w:r>
              <w:br/>
            </w:r>
            <w:r>
              <w:t xml:space="preserve">Development of complete single-line diagrams for the expanded production area. Designed distribution board layouts, cable routing plans, and grounding systems in accordance with IRAM 2281 standards. Included coordination with architectural and mechanical engineering teams.</w:t>
            </w:r>
          </w:p>
        </w:tc>
        <w:tc>
          <w:tcPr/>
          <w:p>
            <w:pPr>
              <w:pStyle w:val="Compact"/>
              <w:jc w:val="left"/>
            </w:pPr>
            <w:r>
              <w:t xml:space="preserve">65</w:t>
            </w:r>
          </w:p>
        </w:tc>
        <w:tc>
          <w:tcPr/>
          <w:p>
            <w:pPr>
              <w:pStyle w:val="Compact"/>
              <w:jc w:val="left"/>
            </w:pPr>
            <w:r>
              <w:t xml:space="preserve">45,000.00</w:t>
            </w:r>
          </w:p>
        </w:tc>
        <w:tc>
          <w:tcPr/>
          <w:p>
            <w:pPr>
              <w:pStyle w:val="Compact"/>
              <w:jc w:val="left"/>
            </w:pPr>
            <w:r>
              <w:t xml:space="preserve">2,925,000.00</w:t>
            </w:r>
          </w:p>
        </w:tc>
        <w:tc>
          <w:tcPr/>
          <w:p>
            <w:pPr>
              <w:pStyle w:val="Compact"/>
              <w:jc w:val="left"/>
            </w:pPr>
            <w:r>
              <w:t xml:space="preserve">614,250.00</w:t>
            </w:r>
          </w:p>
        </w:tc>
      </w:tr>
      <w:tr>
        <w:tc>
          <w:tcPr/>
          <w:p>
            <w:pPr>
              <w:pStyle w:val="Compact"/>
              <w:jc w:val="left"/>
            </w:pPr>
            <w:r>
              <w:t xml:space="preserve">3</w:t>
            </w:r>
          </w:p>
        </w:tc>
        <w:tc>
          <w:tcPr/>
          <w:p>
            <w:pPr>
              <w:pStyle w:val="Compact"/>
              <w:jc w:val="left"/>
            </w:pPr>
            <w:r>
              <w:rPr>
                <w:bCs/>
                <w:b/>
              </w:rPr>
              <w:t xml:space="preserve">Protection and Control System Design</w:t>
            </w:r>
            <w:r>
              <w:br/>
            </w:r>
            <w:r>
              <w:t xml:space="preserve">Specification of circuit breakers, fuses, relays, and protective devices. Designed selective coordination studies to ensure proper fault isolation. Prepared control schematics for motor control centers and automated production lines.</w:t>
            </w:r>
          </w:p>
        </w:tc>
        <w:tc>
          <w:tcPr/>
          <w:p>
            <w:pPr>
              <w:pStyle w:val="Compact"/>
              <w:jc w:val="left"/>
            </w:pPr>
            <w:r>
              <w:t xml:space="preserve">50</w:t>
            </w:r>
          </w:p>
        </w:tc>
        <w:tc>
          <w:tcPr/>
          <w:p>
            <w:pPr>
              <w:pStyle w:val="Compact"/>
              <w:jc w:val="left"/>
            </w:pPr>
            <w:r>
              <w:t xml:space="preserve">45,000.00</w:t>
            </w:r>
          </w:p>
        </w:tc>
        <w:tc>
          <w:tcPr/>
          <w:p>
            <w:pPr>
              <w:pStyle w:val="Compact"/>
              <w:jc w:val="left"/>
            </w:pPr>
            <w:r>
              <w:t xml:space="preserve">2,250,000.00</w:t>
            </w:r>
          </w:p>
        </w:tc>
        <w:tc>
          <w:tcPr/>
          <w:p>
            <w:pPr>
              <w:pStyle w:val="Compact"/>
              <w:jc w:val="left"/>
            </w:pPr>
            <w:r>
              <w:t xml:space="preserve">472,500.00</w:t>
            </w:r>
          </w:p>
        </w:tc>
      </w:tr>
      <w:tr>
        <w:tc>
          <w:tcPr/>
          <w:p>
            <w:pPr>
              <w:pStyle w:val="Compact"/>
              <w:jc w:val="left"/>
            </w:pPr>
            <w:r>
              <w:t xml:space="preserve">4</w:t>
            </w:r>
          </w:p>
        </w:tc>
        <w:tc>
          <w:tcPr/>
          <w:p>
            <w:pPr>
              <w:pStyle w:val="Compact"/>
              <w:jc w:val="left"/>
            </w:pPr>
            <w:r>
              <w:rPr>
                <w:bCs/>
                <w:b/>
              </w:rPr>
              <w:t xml:space="preserve">Lighting Design and Energy Efficiency Analysis</w:t>
            </w:r>
            <w:r>
              <w:br/>
            </w:r>
            <w:r>
              <w:t xml:space="preserve">Photometric calculations for indoor and outdoor lighting systems. Selected LED fixtures meeting energy efficiency requirements. Prepared lighting control strategies including occupancy sensors and daylight harvesting to reduce operational costs.</w:t>
            </w:r>
          </w:p>
        </w:tc>
        <w:tc>
          <w:tcPr/>
          <w:p>
            <w:pPr>
              <w:pStyle w:val="Compact"/>
              <w:jc w:val="left"/>
            </w:pPr>
            <w:r>
              <w:t xml:space="preserve">30</w:t>
            </w:r>
          </w:p>
        </w:tc>
        <w:tc>
          <w:tcPr/>
          <w:p>
            <w:pPr>
              <w:pStyle w:val="Compact"/>
              <w:jc w:val="left"/>
            </w:pPr>
            <w:r>
              <w:t xml:space="preserve">45,000.00</w:t>
            </w:r>
          </w:p>
        </w:tc>
        <w:tc>
          <w:tcPr/>
          <w:p>
            <w:pPr>
              <w:pStyle w:val="Compact"/>
              <w:jc w:val="left"/>
            </w:pPr>
            <w:r>
              <w:t xml:space="preserve">1,350,000.00</w:t>
            </w:r>
          </w:p>
        </w:tc>
        <w:tc>
          <w:tcPr/>
          <w:p>
            <w:pPr>
              <w:pStyle w:val="Compact"/>
              <w:jc w:val="left"/>
            </w:pPr>
            <w:r>
              <w:t xml:space="preserve">283,500.00</w:t>
            </w:r>
          </w:p>
        </w:tc>
      </w:tr>
      <w:tr>
        <w:tc>
          <w:tcPr/>
          <w:p>
            <w:pPr>
              <w:pStyle w:val="Compact"/>
              <w:jc w:val="left"/>
            </w:pPr>
            <w:r>
              <w:t xml:space="preserve">5</w:t>
            </w:r>
          </w:p>
        </w:tc>
        <w:tc>
          <w:tcPr/>
          <w:p>
            <w:pPr>
              <w:pStyle w:val="Compact"/>
              <w:jc w:val="left"/>
            </w:pPr>
            <w:r>
              <w:rPr>
                <w:bCs/>
                <w:b/>
              </w:rPr>
              <w:t xml:space="preserve">Construction Supervision and Commissioning</w:t>
            </w:r>
            <w:r>
              <w:br/>
            </w:r>
            <w:r>
              <w:t xml:space="preserve">On-site supervision of electrical installation work at the Córdoba facility. Verified compliance with approved designs and safety standards. Conducted testing and commissioning of all electrical systems, including insulation resistance tests, continuity checks, and functional verification.</w:t>
            </w:r>
          </w:p>
        </w:tc>
        <w:tc>
          <w:tcPr/>
          <w:p>
            <w:pPr>
              <w:pStyle w:val="Compact"/>
              <w:jc w:val="left"/>
            </w:pPr>
            <w:r>
              <w:t xml:space="preserve">80</w:t>
            </w:r>
          </w:p>
        </w:tc>
        <w:tc>
          <w:tcPr/>
          <w:p>
            <w:pPr>
              <w:pStyle w:val="Compact"/>
              <w:jc w:val="left"/>
            </w:pPr>
            <w:r>
              <w:t xml:space="preserve">45,000.00</w:t>
            </w:r>
          </w:p>
        </w:tc>
        <w:tc>
          <w:tcPr/>
          <w:p>
            <w:pPr>
              <w:pStyle w:val="Compact"/>
              <w:jc w:val="left"/>
            </w:pPr>
            <w:r>
              <w:t xml:space="preserve">3,600,000.00</w:t>
            </w:r>
          </w:p>
        </w:tc>
        <w:tc>
          <w:tcPr/>
          <w:p>
            <w:pPr>
              <w:pStyle w:val="Compact"/>
              <w:jc w:val="left"/>
            </w:pPr>
            <w:r>
              <w:t xml:space="preserve">756,000.00</w:t>
            </w:r>
          </w:p>
        </w:tc>
      </w:tr>
      <w:tr>
        <w:tc>
          <w:tcPr/>
          <w:p>
            <w:pPr>
              <w:pStyle w:val="Compact"/>
              <w:jc w:val="left"/>
            </w:pPr>
            <w:r>
              <w:t xml:space="preserve">6</w:t>
            </w:r>
          </w:p>
        </w:tc>
        <w:tc>
          <w:tcPr/>
          <w:p>
            <w:pPr>
              <w:pStyle w:val="Compact"/>
              <w:jc w:val="left"/>
            </w:pPr>
            <w:r>
              <w:rPr>
                <w:bCs/>
                <w:b/>
              </w:rPr>
              <w:t xml:space="preserve">Technical Documentation and Regulatory Compliance</w:t>
            </w:r>
            <w:r>
              <w:br/>
            </w:r>
            <w:r>
              <w:t xml:space="preserve">Preparation of as-built drawings, operation and maintenance manuals, and safety documentation. Submission of required documentation to EDENOR Córdoba and local authorities. Ensured compliance with all applicable regulations in Córdoba, Argentina.</w:t>
            </w:r>
          </w:p>
        </w:tc>
        <w:tc>
          <w:tcPr/>
          <w:p>
            <w:pPr>
              <w:pStyle w:val="Compact"/>
              <w:jc w:val="left"/>
            </w:pPr>
            <w:r>
              <w:t xml:space="preserve">25</w:t>
            </w:r>
          </w:p>
        </w:tc>
        <w:tc>
          <w:tcPr/>
          <w:p>
            <w:pPr>
              <w:pStyle w:val="Compact"/>
              <w:jc w:val="left"/>
            </w:pPr>
            <w:r>
              <w:t xml:space="preserve">45,000.00</w:t>
            </w:r>
          </w:p>
        </w:tc>
        <w:tc>
          <w:tcPr/>
          <w:p>
            <w:pPr>
              <w:pStyle w:val="Compact"/>
              <w:jc w:val="left"/>
            </w:pPr>
            <w:r>
              <w:t xml:space="preserve">1,125,000.00</w:t>
            </w:r>
          </w:p>
        </w:tc>
        <w:tc>
          <w:tcPr/>
          <w:p>
            <w:pPr>
              <w:pStyle w:val="Compact"/>
              <w:jc w:val="left"/>
            </w:pPr>
            <w:r>
              <w:t xml:space="preserve">236,250.00</w:t>
            </w:r>
          </w:p>
        </w:tc>
      </w:tr>
    </w:tbl>
    <w:bookmarkEnd w:id="24"/>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13,050,000.00 ARS</w:t>
            </w:r>
          </w:p>
        </w:tc>
      </w:tr>
      <w:tr>
        <w:tc>
          <w:tcPr/>
          <w:p>
            <w:pPr>
              <w:pStyle w:val="Compact"/>
              <w:jc w:val="left"/>
            </w:pPr>
            <w:r>
              <w:t xml:space="preserve">IVA (21%):</w:t>
            </w:r>
          </w:p>
        </w:tc>
        <w:tc>
          <w:tcPr/>
          <w:p>
            <w:pPr>
              <w:pStyle w:val="Compact"/>
              <w:jc w:val="left"/>
            </w:pPr>
            <w:r>
              <w:t xml:space="preserve">2,740,500.00 ARS</w:t>
            </w:r>
          </w:p>
        </w:tc>
      </w:tr>
      <w:tr>
        <w:tc>
          <w:tcPr/>
          <w:p>
            <w:pPr>
              <w:pStyle w:val="Compact"/>
              <w:jc w:val="left"/>
            </w:pPr>
            <w:r>
              <w:t xml:space="preserve">TOTAL AMOUNT DUE:</w:t>
            </w:r>
          </w:p>
        </w:tc>
        <w:tc>
          <w:tcPr/>
          <w:p>
            <w:pPr>
              <w:pStyle w:val="Compact"/>
              <w:jc w:val="left"/>
            </w:pPr>
            <w:r>
              <w:t xml:space="preserve">15,790,500.00 ARS</w:t>
            </w:r>
          </w:p>
        </w:tc>
      </w:tr>
    </w:tbl>
    <w:bookmarkStart w:id="25" w:name="payment-instructions"/>
    <w:p>
      <w:pPr>
        <w:pStyle w:val="Heading4"/>
      </w:pPr>
      <w:r>
        <w:t xml:space="preserve">Payment Instructions:</w:t>
      </w:r>
    </w:p>
    <w:p>
      <w:pPr>
        <w:pStyle w:val="FirstParagraph"/>
      </w:pPr>
      <w:r>
        <w:t xml:space="preserve">Please make payment via bank transfer to the following account:</w:t>
      </w:r>
      <w:r>
        <w:br/>
      </w:r>
      <w:r>
        <w:rPr>
          <w:bCs/>
          <w:b/>
        </w:rPr>
        <w:t xml:space="preserve">Bank:</w:t>
      </w:r>
      <w:r>
        <w:t xml:space="preserve"> </w:t>
      </w:r>
      <w:r>
        <w:t xml:space="preserve">Banco Nación Argentina</w:t>
      </w:r>
      <w:r>
        <w:br/>
      </w:r>
      <w:r>
        <w:rPr>
          <w:bCs/>
          <w:b/>
        </w:rPr>
        <w:t xml:space="preserve">CBU:</w:t>
      </w:r>
      <w:r>
        <w:t xml:space="preserve"> </w:t>
      </w:r>
      <w:r>
        <w:t xml:space="preserve">0110000000000000000000</w:t>
      </w:r>
      <w:r>
        <w:br/>
      </w:r>
      <w:r>
        <w:rPr>
          <w:bCs/>
          <w:b/>
        </w:rPr>
        <w:t xml:space="preserve">Account Holder:</w:t>
      </w:r>
      <w:r>
        <w:t xml:space="preserve"> </w:t>
      </w:r>
      <w:r>
        <w:t xml:space="preserve">ElectroCórdoba Engineering Solutions</w:t>
      </w:r>
      <w:r>
        <w:br/>
      </w:r>
      <w:r>
        <w:rPr>
          <w:bCs/>
          <w:b/>
        </w:rPr>
        <w:t xml:space="preserve">Reference:</w:t>
      </w:r>
      <w:r>
        <w:t xml:space="preserve"> </w:t>
      </w:r>
      <w:r>
        <w:t xml:space="preserve">Invoice INV-2024-0089</w:t>
      </w:r>
    </w:p>
    <w:p>
      <w:pPr>
        <w:pStyle w:val="BodyText"/>
      </w:pPr>
      <w:r>
        <w:t xml:space="preserve">For payments in foreign currency, please contact our billing department for alternative payment arrangements. Late payments will incur interest at the rate established by the Central Bank of Argentina.</w:t>
      </w:r>
    </w:p>
    <w:bookmarkEnd w:id="25"/>
    <w:bookmarkStart w:id="26" w:name="terms-and-conditions"/>
    <w:p>
      <w:pPr>
        <w:pStyle w:val="Heading4"/>
      </w:pPr>
      <w:r>
        <w:t xml:space="preserve">Terms and Conditions:</w:t>
      </w:r>
    </w:p>
    <w:p>
      <w:pPr>
        <w:numPr>
          <w:ilvl w:val="0"/>
          <w:numId w:val="1001"/>
        </w:numPr>
        <w:pStyle w:val="Compact"/>
      </w:pPr>
      <w:r>
        <w:t xml:space="preserve">All services were performed by a licensed Electrical Engineer registered with the Colegio de Ingenieros de Córdoba, in accordance with professional regulations in Argentina.</w:t>
      </w:r>
    </w:p>
    <w:p>
      <w:pPr>
        <w:numPr>
          <w:ilvl w:val="0"/>
          <w:numId w:val="1001"/>
        </w:numPr>
        <w:pStyle w:val="Compact"/>
      </w:pPr>
      <w:r>
        <w:t xml:space="preserve">This invoice is subject to Argentine tax law, including IVA (Value Added Tax) at the standard rate of 21%.</w:t>
      </w:r>
    </w:p>
    <w:p>
      <w:pPr>
        <w:numPr>
          <w:ilvl w:val="0"/>
          <w:numId w:val="1001"/>
        </w:numPr>
        <w:pStyle w:val="Compact"/>
      </w:pPr>
      <w:r>
        <w:t xml:space="preserve">Payment is due within 30 days from the invoice date. Please include the invoice number as payment reference.</w:t>
      </w:r>
    </w:p>
    <w:p>
      <w:pPr>
        <w:numPr>
          <w:ilvl w:val="0"/>
          <w:numId w:val="1001"/>
        </w:numPr>
        <w:pStyle w:val="Compact"/>
      </w:pPr>
      <w:r>
        <w:t xml:space="preserve">All designs and documentation remain the property of ElectroCórdoba Engineering Solutions until full payment is received.</w:t>
      </w:r>
    </w:p>
    <w:p>
      <w:pPr>
        <w:numPr>
          <w:ilvl w:val="0"/>
          <w:numId w:val="1001"/>
        </w:numPr>
        <w:pStyle w:val="Compact"/>
      </w:pPr>
      <w:r>
        <w:t xml:space="preserve">Any disputes arising from this invoice shall be resolved under the jurisdiction of the courts of Córdoba, Argentina.</w:t>
      </w:r>
    </w:p>
    <w:p>
      <w:pPr>
        <w:numPr>
          <w:ilvl w:val="0"/>
          <w:numId w:val="1001"/>
        </w:numPr>
        <w:pStyle w:val="Compact"/>
      </w:pPr>
      <w:r>
        <w:t xml:space="preserve">This invoice is valid for tax deduction purposes in Argentina. Please retain for your accounting records.</w:t>
      </w:r>
    </w:p>
    <w:bookmarkEnd w:id="26"/>
    <w:p>
      <w:pPr>
        <w:pStyle w:val="FirstParagraph"/>
      </w:pPr>
      <w:r>
        <w:rPr>
          <w:bCs/>
          <w:b/>
        </w:rPr>
        <w:t xml:space="preserve">ElectroCórdoba Engineering Solutions</w:t>
      </w:r>
      <w:r>
        <w:t xml:space="preserve"> </w:t>
      </w:r>
      <w:r>
        <w:t xml:space="preserve">| Professional Electrical Engineering Services in Córdoba, Argentina</w:t>
      </w:r>
      <w:r>
        <w:br/>
      </w:r>
      <w:r>
        <w:t xml:space="preserve">CUIT: 30-71234567-8 | Matrícula: 12345 | Av. Colón 1234, Córdoba, Argentina</w:t>
      </w:r>
      <w:r>
        <w:br/>
      </w:r>
      <w:r>
        <w:t xml:space="preserve">Phone: +54 351 456-7890 | Email: billing@electrocordoba.com.ar</w:t>
      </w:r>
      <w:r>
        <w:br/>
      </w:r>
      <w:r>
        <w:rPr>
          <w:iCs/>
          <w:i/>
        </w:rPr>
        <w:t xml:space="preserve">This is an official invoice document. 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2026-10-10T03:41:43Z</dcterms:created>
  <dcterms:modified xsi:type="dcterms:W3CDTF">2026-10-10T03:41:43Z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