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Electrical</w:t>
      </w:r>
      <w:r>
        <w:t xml:space="preserve"> </w:t>
      </w:r>
      <w:r>
        <w:t xml:space="preserve">Engineering</w:t>
      </w:r>
      <w:r>
        <w:t xml:space="preserve"> </w:t>
      </w:r>
      <w:r>
        <w:t xml:space="preserve">Services</w:t>
      </w:r>
    </w:p>
    <w:bookmarkStart w:id="20" w:name="carvalho-silva-engineering"/>
    <w:p>
      <w:pPr>
        <w:pStyle w:val="Heading1"/>
      </w:pPr>
      <w:r>
        <w:t xml:space="preserve">Carvalho &amp; Silva Engineering</w:t>
      </w:r>
    </w:p>
    <w:p>
      <w:pPr>
        <w:pStyle w:val="FirstParagraph"/>
      </w:pPr>
      <w:r>
        <w:rPr>
          <w:bCs/>
          <w:b/>
        </w:rPr>
        <w:t xml:space="preserve">Lead Electrical Engineer:</w:t>
      </w:r>
      <w:r>
        <w:t xml:space="preserve"> </w:t>
      </w:r>
      <w:r>
        <w:t xml:space="preserve">Eng. Roberto Carvalho, CREA-RJ 50.123.456</w:t>
      </w:r>
    </w:p>
    <w:p>
      <w:pPr>
        <w:pStyle w:val="BodyText"/>
      </w:pPr>
      <w:r>
        <w:t xml:space="preserve">Av. Rio Branco, 156, 12th Floor, Centro</w:t>
      </w:r>
    </w:p>
    <w:p>
      <w:pPr>
        <w:pStyle w:val="BodyText"/>
      </w:pPr>
      <w:r>
        <w:t xml:space="preserve">Rio de Janeiro, RJ - 20040-901, Brazil</w:t>
      </w:r>
    </w:p>
    <w:p>
      <w:pPr>
        <w:pStyle w:val="BodyText"/>
      </w:pPr>
      <w:r>
        <w:t xml:space="preserve">Phone: +55 (21) 3333-4444 | Email: billing@carvalhosilva-eng.com.br</w:t>
      </w:r>
    </w:p>
    <w:p>
      <w:pPr>
        <w:pStyle w:val="BodyText"/>
      </w:pPr>
      <w:r>
        <w:t xml:space="preserve">CNPJ: 12.345.678/0001-90 | Inscrição Estadual: 123.456.789.110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2023-RJ-0892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Service Period:</w:t>
      </w:r>
      <w:r>
        <w:t xml:space="preserve"> </w:t>
      </w:r>
      <w:r>
        <w:t xml:space="preserve">September 01, 2023 - October 20, 2023</w:t>
      </w:r>
    </w:p>
    <w:bookmarkEnd w:id="21"/>
    <w:p>
      <w:pPr>
        <w:pStyle w:val="BodyText"/>
      </w:pPr>
      <w:r>
        <w:t xml:space="preserve">Bill To:</w:t>
      </w:r>
    </w:p>
    <w:p>
      <w:pPr>
        <w:pStyle w:val="BodyText"/>
      </w:pPr>
      <w:r>
        <w:rPr>
          <w:bCs/>
          <w:b/>
        </w:rPr>
        <w:t xml:space="preserve">Construtora Atlântica S.A.</w:t>
      </w:r>
    </w:p>
    <w:p>
      <w:pPr>
        <w:pStyle w:val="BodyText"/>
      </w:pPr>
      <w:r>
        <w:t xml:space="preserve">Attn: Procurement Department</w:t>
      </w:r>
    </w:p>
    <w:p>
      <w:pPr>
        <w:pStyle w:val="BodyText"/>
      </w:pPr>
      <w:r>
        <w:t xml:space="preserve">Rua da Assembleia, 400, Copacabana</w:t>
      </w:r>
    </w:p>
    <w:p>
      <w:pPr>
        <w:pStyle w:val="BodyText"/>
      </w:pPr>
      <w:r>
        <w:t xml:space="preserve">Rio de Janeiro, RJ - 22041-001, Brazil</w:t>
      </w:r>
    </w:p>
    <w:p>
      <w:pPr>
        <w:pStyle w:val="BodyText"/>
      </w:pPr>
      <w:r>
        <w:t xml:space="preserve">CNPJ: 98.765.432/0001-10</w:t>
      </w:r>
    </w:p>
    <w:p>
      <w:pPr>
        <w:pStyle w:val="BodyText"/>
      </w:pPr>
      <w:r>
        <w:t xml:space="preserve">Project Scope: High-Voltage Distribution &amp; Safety Compliance</w:t>
      </w:r>
    </w:p>
    <w:p>
      <w:pPr>
        <w:pStyle w:val="BodyText"/>
      </w:pPr>
      <w:r>
        <w:t xml:space="preserve">This invoice covers professional services rendered by a licensed Electrical Engineer in accordance with Brazilian technical standards (ABNT NBR) and local regulations specific to the municipality of Rio de Janeiro. Services include the design, calculation, and supervision of the electrical infrastructure for the "Horizon Tower" commercial complex.</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Unit Rate (BRL)</w:t>
            </w:r>
          </w:p>
        </w:tc>
        <w:tc>
          <w:tcPr/>
          <w:p>
            <w:pPr>
              <w:pStyle w:val="Compact"/>
              <w:jc w:val="left"/>
            </w:pPr>
            <w:r>
              <w:t xml:space="preserve">Total (BRL)</w:t>
            </w:r>
          </w:p>
        </w:tc>
      </w:tr>
      <w:tr>
        <w:tc>
          <w:tcPr/>
          <w:p>
            <w:pPr>
              <w:pStyle w:val="Compact"/>
              <w:jc w:val="left"/>
            </w:pPr>
            <w:r>
              <w:t xml:space="preserve">1</w:t>
            </w:r>
          </w:p>
        </w:tc>
        <w:tc>
          <w:tcPr/>
          <w:p>
            <w:pPr>
              <w:pStyle w:val="Compact"/>
              <w:jc w:val="left"/>
            </w:pPr>
            <w:r>
              <w:rPr>
                <w:bCs/>
                <w:b/>
              </w:rPr>
              <w:t xml:space="preserve">Electrical Load Calculation &amp; Design:</w:t>
            </w:r>
            <w:r>
              <w:br/>
            </w:r>
            <w:r>
              <w:t xml:space="preserve">Comprehensive analysis of power demand for the commercial complex. Preparation of single-line diagrams and load flow studies compliant with ABNT NBR 5410. This ensures the electrical system in Rio de Janeiro can handle peak loads during summer months efficiently.</w:t>
            </w:r>
          </w:p>
        </w:tc>
        <w:tc>
          <w:tcPr/>
          <w:p>
            <w:pPr>
              <w:pStyle w:val="Compact"/>
              <w:jc w:val="left"/>
            </w:pPr>
            <w:r>
              <w:t xml:space="preserve">40</w:t>
            </w:r>
          </w:p>
        </w:tc>
        <w:tc>
          <w:tcPr/>
          <w:p>
            <w:pPr>
              <w:pStyle w:val="Compact"/>
              <w:jc w:val="left"/>
            </w:pPr>
            <w:r>
              <w:t xml:space="preserve">450.00</w:t>
            </w:r>
          </w:p>
        </w:tc>
        <w:tc>
          <w:tcPr/>
          <w:p>
            <w:pPr>
              <w:pStyle w:val="Compact"/>
              <w:jc w:val="left"/>
            </w:pPr>
            <w:r>
              <w:t xml:space="preserve">18,000.00</w:t>
            </w:r>
          </w:p>
        </w:tc>
      </w:tr>
      <w:tr>
        <w:tc>
          <w:tcPr/>
          <w:p>
            <w:pPr>
              <w:pStyle w:val="Compact"/>
              <w:jc w:val="left"/>
            </w:pPr>
            <w:r>
              <w:t xml:space="preserve">2</w:t>
            </w:r>
          </w:p>
        </w:tc>
        <w:tc>
          <w:tcPr/>
          <w:p>
            <w:pPr>
              <w:pStyle w:val="Compact"/>
              <w:jc w:val="left"/>
            </w:pPr>
            <w:r>
              <w:rPr>
                <w:bCs/>
                <w:b/>
              </w:rPr>
              <w:t xml:space="preserve">Lightning Protection System Design:</w:t>
            </w:r>
            <w:r>
              <w:br/>
            </w:r>
            <w:r>
              <w:t xml:space="preserve">Design of the lightning protection system (SPDA) according to ABNT NBR 5419. Given the coastal location in Rio de Janeiro, specific calculations were performed to mitigate high-risk atmospheric discharge scenarios, ensuring structural integrity and personnel safety.</w:t>
            </w:r>
          </w:p>
        </w:tc>
        <w:tc>
          <w:tcPr/>
          <w:p>
            <w:pPr>
              <w:pStyle w:val="Compact"/>
              <w:jc w:val="left"/>
            </w:pPr>
            <w:r>
              <w:t xml:space="preserve">25</w:t>
            </w:r>
          </w:p>
        </w:tc>
        <w:tc>
          <w:tcPr/>
          <w:p>
            <w:pPr>
              <w:pStyle w:val="Compact"/>
              <w:jc w:val="left"/>
            </w:pPr>
            <w:r>
              <w:t xml:space="preserve">450.00</w:t>
            </w:r>
          </w:p>
        </w:tc>
        <w:tc>
          <w:tcPr/>
          <w:p>
            <w:pPr>
              <w:pStyle w:val="Compact"/>
              <w:jc w:val="left"/>
            </w:pPr>
            <w:r>
              <w:t xml:space="preserve">11,250.00</w:t>
            </w:r>
          </w:p>
        </w:tc>
      </w:tr>
      <w:tr>
        <w:tc>
          <w:tcPr/>
          <w:p>
            <w:pPr>
              <w:pStyle w:val="Compact"/>
              <w:jc w:val="left"/>
            </w:pPr>
            <w:r>
              <w:t xml:space="preserve">3</w:t>
            </w:r>
          </w:p>
        </w:tc>
        <w:tc>
          <w:tcPr/>
          <w:p>
            <w:pPr>
              <w:pStyle w:val="Compact"/>
              <w:jc w:val="left"/>
            </w:pPr>
            <w:r>
              <w:rPr>
                <w:bCs/>
                <w:b/>
              </w:rPr>
              <w:t xml:space="preserve">Regulatory Compliance &amp; Documentation:</w:t>
            </w:r>
            <w:r>
              <w:br/>
            </w:r>
            <w:r>
              <w:t xml:space="preserve">Preparation of technical documentation required for submission to the Rio de Janeiro City Hall (Prefeitura do Rio) and the local utility provider (Light Serviços de Eletricidade S.A.). Includes the ART (Anotação de Responsabilidade Técnica) issuance fees and administrative processing.</w:t>
            </w:r>
          </w:p>
        </w:tc>
        <w:tc>
          <w:tcPr/>
          <w:p>
            <w:pPr>
              <w:pStyle w:val="Compact"/>
              <w:jc w:val="left"/>
            </w:pPr>
            <w:r>
              <w:t xml:space="preserve">15</w:t>
            </w:r>
          </w:p>
        </w:tc>
        <w:tc>
          <w:tcPr/>
          <w:p>
            <w:pPr>
              <w:pStyle w:val="Compact"/>
              <w:jc w:val="left"/>
            </w:pPr>
            <w:r>
              <w:t xml:space="preserve">450.00</w:t>
            </w:r>
          </w:p>
        </w:tc>
        <w:tc>
          <w:tcPr/>
          <w:p>
            <w:pPr>
              <w:pStyle w:val="Compact"/>
              <w:jc w:val="left"/>
            </w:pPr>
            <w:r>
              <w:t xml:space="preserve">6,750.00</w:t>
            </w:r>
          </w:p>
        </w:tc>
      </w:tr>
      <w:tr>
        <w:tc>
          <w:tcPr/>
          <w:p>
            <w:pPr>
              <w:pStyle w:val="Compact"/>
              <w:jc w:val="left"/>
            </w:pPr>
            <w:r>
              <w:t xml:space="preserve">4</w:t>
            </w:r>
          </w:p>
        </w:tc>
        <w:tc>
          <w:tcPr/>
          <w:p>
            <w:pPr>
              <w:pStyle w:val="Compact"/>
              <w:jc w:val="left"/>
            </w:pPr>
            <w:r>
              <w:rPr>
                <w:bCs/>
                <w:b/>
              </w:rPr>
              <w:t xml:space="preserve">On-Site Technical Supervision:</w:t>
            </w:r>
            <w:r>
              <w:br/>
            </w:r>
            <w:r>
              <w:t xml:space="preserve">Direct supervision of electrical installation works at the Copacabana site. Verification of conduit routing, cable sizing, and grounding systems. Ensuring that the construction team adheres to the engineered plans and Brazilian safety standards (NR-10).</w:t>
            </w:r>
          </w:p>
        </w:tc>
        <w:tc>
          <w:tcPr/>
          <w:p>
            <w:pPr>
              <w:pStyle w:val="Compact"/>
              <w:jc w:val="left"/>
            </w:pPr>
            <w:r>
              <w:t xml:space="preserve">30</w:t>
            </w:r>
          </w:p>
        </w:tc>
        <w:tc>
          <w:tcPr/>
          <w:p>
            <w:pPr>
              <w:pStyle w:val="Compact"/>
              <w:jc w:val="left"/>
            </w:pPr>
            <w:r>
              <w:t xml:space="preserve">500.00</w:t>
            </w:r>
          </w:p>
        </w:tc>
        <w:tc>
          <w:tcPr/>
          <w:p>
            <w:pPr>
              <w:pStyle w:val="Compact"/>
              <w:jc w:val="left"/>
            </w:pPr>
            <w:r>
              <w:t xml:space="preserve">15,000.00</w:t>
            </w:r>
          </w:p>
        </w:tc>
      </w:tr>
      <w:tr>
        <w:tc>
          <w:tcPr/>
          <w:p>
            <w:pPr>
              <w:pStyle w:val="Compact"/>
              <w:jc w:val="left"/>
            </w:pPr>
            <w:r>
              <w:t xml:space="preserve">5</w:t>
            </w:r>
          </w:p>
        </w:tc>
        <w:tc>
          <w:tcPr/>
          <w:p>
            <w:pPr>
              <w:pStyle w:val="Compact"/>
              <w:jc w:val="left"/>
            </w:pPr>
            <w:r>
              <w:rPr>
                <w:bCs/>
                <w:b/>
              </w:rPr>
              <w:t xml:space="preserve">Energy Efficiency Consulting:</w:t>
            </w:r>
            <w:r>
              <w:br/>
            </w:r>
            <w:r>
              <w:t xml:space="preserve">Implementation of smart metering solutions and LED lighting control strategies to reduce operational costs. Analysis of power factor correction to avoid penalties from the local utility provider in the state of Rio de Janeiro.</w:t>
            </w:r>
          </w:p>
        </w:tc>
        <w:tc>
          <w:tcPr/>
          <w:p>
            <w:pPr>
              <w:pStyle w:val="Compact"/>
              <w:jc w:val="left"/>
            </w:pPr>
            <w:r>
              <w:t xml:space="preserve">10</w:t>
            </w:r>
          </w:p>
        </w:tc>
        <w:tc>
          <w:tcPr/>
          <w:p>
            <w:pPr>
              <w:pStyle w:val="Compact"/>
              <w:jc w:val="left"/>
            </w:pPr>
            <w:r>
              <w:t xml:space="preserve">450.00</w:t>
            </w:r>
          </w:p>
        </w:tc>
        <w:tc>
          <w:tcPr/>
          <w:p>
            <w:pPr>
              <w:pStyle w:val="Compact"/>
              <w:jc w:val="left"/>
            </w:pPr>
            <w:r>
              <w:t xml:space="preserve">4,500.00</w:t>
            </w:r>
          </w:p>
        </w:tc>
      </w:tr>
    </w:tbl>
    <w:p>
      <w:pPr>
        <w:pStyle w:val="BodyText"/>
      </w:pPr>
      <w:r>
        <w:t xml:space="preserve">Subtotal:</w:t>
      </w:r>
      <w:r>
        <w:t xml:space="preserve"> </w:t>
      </w:r>
      <w:r>
        <w:t xml:space="preserve">R$ 55,500.00</w:t>
      </w:r>
    </w:p>
    <w:p>
      <w:pPr>
        <w:pStyle w:val="BodyText"/>
      </w:pPr>
      <w:r>
        <w:t xml:space="preserve">ICMS (Tax - 18%):</w:t>
      </w:r>
      <w:r>
        <w:t xml:space="preserve"> </w:t>
      </w:r>
      <w:r>
        <w:t xml:space="preserve">R$ 9,990.00</w:t>
      </w:r>
    </w:p>
    <w:p>
      <w:pPr>
        <w:pStyle w:val="BodyText"/>
      </w:pPr>
      <w:r>
        <w:t xml:space="preserve">PIS/COFINS:</w:t>
      </w:r>
      <w:r>
        <w:t xml:space="preserve"> </w:t>
      </w:r>
      <w:r>
        <w:t xml:space="preserve">R$ 1,165.50</w:t>
      </w:r>
    </w:p>
    <w:p>
      <w:pPr>
        <w:pStyle w:val="BodyText"/>
      </w:pPr>
      <w:r>
        <w:t xml:space="preserve">TOTAL DUE:</w:t>
      </w:r>
      <w:r>
        <w:t xml:space="preserve"> </w:t>
      </w:r>
      <w:r>
        <w:t xml:space="preserve">R$ 66,655.50</w:t>
      </w:r>
    </w:p>
    <w:p>
      <w:pPr>
        <w:pStyle w:val="BodyText"/>
      </w:pPr>
      <w:r>
        <w:t xml:space="preserve">Payment Instructions</w:t>
      </w:r>
    </w:p>
    <w:p>
      <w:pPr>
        <w:pStyle w:val="BodyText"/>
      </w:pPr>
      <w:r>
        <w:t xml:space="preserve">Please transfer the total amount of</w:t>
      </w:r>
      <w:r>
        <w:t xml:space="preserve"> </w:t>
      </w:r>
      <w:r>
        <w:rPr>
          <w:bCs/>
          <w:b/>
        </w:rPr>
        <w:t xml:space="preserve">R$ 66,655.50</w:t>
      </w:r>
      <w:r>
        <w:t xml:space="preserve"> </w:t>
      </w:r>
      <w:r>
        <w:t xml:space="preserve">(Sixty-six thousand, six hundred and fifty-five Brazilian Reais and fifty cents) via bank transfer (TED/DOC) to the following account:</w:t>
      </w:r>
    </w:p>
    <w:p>
      <w:pPr>
        <w:numPr>
          <w:ilvl w:val="0"/>
          <w:numId w:val="1001"/>
        </w:numPr>
        <w:pStyle w:val="Compact"/>
      </w:pPr>
      <w:r>
        <w:rPr>
          <w:bCs/>
          <w:b/>
        </w:rPr>
        <w:t xml:space="preserve">Bank:</w:t>
      </w:r>
      <w:r>
        <w:t xml:space="preserve"> </w:t>
      </w:r>
      <w:r>
        <w:t xml:space="preserve">Banco do Brasil</w:t>
      </w:r>
    </w:p>
    <w:p>
      <w:pPr>
        <w:numPr>
          <w:ilvl w:val="0"/>
          <w:numId w:val="1001"/>
        </w:numPr>
        <w:pStyle w:val="Compact"/>
      </w:pPr>
      <w:r>
        <w:rPr>
          <w:bCs/>
          <w:b/>
        </w:rPr>
        <w:t xml:space="preserve">Agency:</w:t>
      </w:r>
      <w:r>
        <w:t xml:space="preserve"> </w:t>
      </w:r>
      <w:r>
        <w:t xml:space="preserve">1234-5</w:t>
      </w:r>
    </w:p>
    <w:p>
      <w:pPr>
        <w:numPr>
          <w:ilvl w:val="0"/>
          <w:numId w:val="1001"/>
        </w:numPr>
        <w:pStyle w:val="Compact"/>
      </w:pPr>
      <w:r>
        <w:rPr>
          <w:bCs/>
          <w:b/>
        </w:rPr>
        <w:t xml:space="preserve">Account:</w:t>
      </w:r>
      <w:r>
        <w:t xml:space="preserve"> </w:t>
      </w:r>
      <w:r>
        <w:t xml:space="preserve">98765-4 (Checking)</w:t>
      </w:r>
    </w:p>
    <w:p>
      <w:pPr>
        <w:numPr>
          <w:ilvl w:val="0"/>
          <w:numId w:val="1001"/>
        </w:numPr>
        <w:pStyle w:val="Compact"/>
      </w:pPr>
      <w:r>
        <w:rPr>
          <w:bCs/>
          <w:b/>
        </w:rPr>
        <w:t xml:space="preserve">Account Holder:</w:t>
      </w:r>
      <w:r>
        <w:t xml:space="preserve"> </w:t>
      </w:r>
      <w:r>
        <w:t xml:space="preserve">Carvalho &amp; Silva Engenharia Ltda.</w:t>
      </w:r>
    </w:p>
    <w:p>
      <w:pPr>
        <w:numPr>
          <w:ilvl w:val="0"/>
          <w:numId w:val="1001"/>
        </w:numPr>
        <w:pStyle w:val="Compact"/>
      </w:pPr>
      <w:r>
        <w:rPr>
          <w:bCs/>
          <w:b/>
        </w:rPr>
        <w:t xml:space="preserve">CNPJ:</w:t>
      </w:r>
      <w:r>
        <w:t xml:space="preserve"> </w:t>
      </w:r>
      <w:r>
        <w:t xml:space="preserve">12.345.678/0001-90</w:t>
      </w:r>
    </w:p>
    <w:p>
      <w:pPr>
        <w:numPr>
          <w:ilvl w:val="0"/>
          <w:numId w:val="1001"/>
        </w:numPr>
        <w:pStyle w:val="Compact"/>
      </w:pPr>
      <w:r>
        <w:rPr>
          <w:bCs/>
          <w:b/>
        </w:rPr>
        <w:t xml:space="preserve">Reference:</w:t>
      </w:r>
      <w:r>
        <w:t xml:space="preserve"> </w:t>
      </w:r>
      <w:r>
        <w:t xml:space="preserve">Invoice 2023-RJ-0892</w:t>
      </w:r>
    </w:p>
    <w:bookmarkStart w:id="22" w:name="terms-and-conditions"/>
    <w:p>
      <w:pPr>
        <w:pStyle w:val="Heading3"/>
      </w:pPr>
      <w:r>
        <w:t xml:space="preserve">Terms and Conditions</w:t>
      </w:r>
    </w:p>
    <w:p>
      <w:pPr>
        <w:pStyle w:val="FirstParagraph"/>
      </w:pPr>
      <w:r>
        <w:t xml:space="preserve">1. Payment is due within 14 days of the invoice date. Late payments will incur a penalty of 2% plus interest of 1% per month.</w:t>
      </w:r>
      <w:r>
        <w:br/>
      </w:r>
      <w:r>
        <w:t xml:space="preserve">2. All services are performed by a qualified Electrical Engineer registered with CREA-RJ (Regional Council of Engineering and Agronomy of Rio de Janeiro).</w:t>
      </w:r>
      <w:r>
        <w:br/>
      </w:r>
      <w:r>
        <w:t xml:space="preserve">3. This invoice is subject to the laws of the Federative Republic of Brazil.</w:t>
      </w:r>
      <w:r>
        <w:br/>
      </w:r>
      <w:r>
        <w:t xml:space="preserve">4. The ART (Technical Responsibility Annotation) has been issued and is available upon request.</w:t>
      </w:r>
    </w:p>
    <w:p>
      <w:pPr>
        <w:pStyle w:val="BodyText"/>
      </w:pPr>
      <w:r>
        <w:rPr>
          <w:bCs/>
          <w:b/>
        </w:rPr>
        <w:t xml:space="preserve">Disclaimer:</w:t>
      </w:r>
      <w:r>
        <w:t xml:space="preserve"> </w:t>
      </w:r>
      <w:r>
        <w:t xml:space="preserve">This document serves as a formal request for payment for engineering services rendered. The calculations and designs provided are based on the information available at the time of service and adhere to the current Brazilian National Standards (ABNT). The client is responsible for ensuring that all necessary permits from the Rio de Janeiro municipal authorities are obtained prior to the commencement of physical works. Carvalho &amp; Silva Engineering assumes no liability for delays caused by third-party utility providers or municipal bureaucracy in the Rio de Janeiro metropolitan area.</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Electrical Engineering Services</dc:title>
  <dc:creator/>
  <dc:language>en</dc:language>
  <cp:keywords/>
  <dcterms:created xsi:type="dcterms:W3CDTF">2026-10-10T01:54:16Z</dcterms:created>
  <dcterms:modified xsi:type="dcterms:W3CDTF">2026-10-10T01:54:16Z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