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northwest-power-systems-inc."/>
    <w:p>
      <w:pPr>
        <w:pStyle w:val="Heading1"/>
      </w:pPr>
      <w:r>
        <w:t xml:space="preserve">Northwest Power Systems Inc.</w:t>
      </w:r>
    </w:p>
    <w:p>
      <w:pPr>
        <w:pStyle w:val="FirstParagraph"/>
      </w:pPr>
      <w:r>
        <w:rPr>
          <w:bCs/>
          <w:b/>
        </w:rPr>
        <w:t xml:space="preserve">Professional Electrical Engineering Services</w:t>
      </w:r>
    </w:p>
    <w:p>
      <w:pPr>
        <w:pStyle w:val="BodyText"/>
      </w:pPr>
      <w:r>
        <w:t xml:space="preserve">1234 Burrard Street, Suite 500</w:t>
      </w:r>
    </w:p>
    <w:p>
      <w:pPr>
        <w:pStyle w:val="BodyText"/>
      </w:pPr>
      <w:r>
        <w:t xml:space="preserve">Vancouver, BC V6Z 2C7, Canada</w:t>
      </w:r>
    </w:p>
    <w:p>
      <w:pPr>
        <w:pStyle w:val="BodyText"/>
      </w:pPr>
      <w:r>
        <w:t xml:space="preserve">Phone: (604) 555-0199</w:t>
      </w:r>
    </w:p>
    <w:p>
      <w:pPr>
        <w:pStyle w:val="BodyText"/>
      </w:pPr>
      <w:r>
        <w:t xml:space="preserve">Email: billing@nwpsystems.ca</w:t>
      </w:r>
    </w:p>
    <w:p>
      <w:pPr>
        <w:pStyle w:val="BodyText"/>
      </w:pPr>
      <w:r>
        <w:t xml:space="preserve">Business Number: 123456789 RC0001</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INV-2023-10-045</w:t>
      </w:r>
    </w:p>
    <w:bookmarkEnd w:id="21"/>
    <w:p>
      <w:pPr>
        <w:pStyle w:val="BodyText"/>
      </w:pPr>
      <w:r>
        <w:rPr>
          <w:bCs/>
          <w:b/>
        </w:rPr>
        <w:t xml:space="preserve">Billed To:</w:t>
      </w:r>
    </w:p>
    <w:p>
      <w:pPr>
        <w:pStyle w:val="BodyText"/>
      </w:pPr>
      <w:r>
        <w:t xml:space="preserve">Westcoast Commercial Developments Ltd.</w:t>
      </w:r>
    </w:p>
    <w:p>
      <w:pPr>
        <w:pStyle w:val="BodyText"/>
      </w:pPr>
      <w:r>
        <w:t xml:space="preserve">Attn: Procurement Department</w:t>
      </w:r>
    </w:p>
    <w:p>
      <w:pPr>
        <w:pStyle w:val="BodyText"/>
      </w:pPr>
      <w:r>
        <w:t xml:space="preserve">789 Granville Street</w:t>
      </w:r>
    </w:p>
    <w:p>
      <w:pPr>
        <w:pStyle w:val="BodyText"/>
      </w:pPr>
      <w:r>
        <w:t xml:space="preserve">Vancouver, BC V6C 1S8, Canada</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w:t>
      </w:r>
      <w:r>
        <w:t xml:space="preserve"> </w:t>
      </w:r>
      <w:r>
        <w:t xml:space="preserve">Granville Tower High-Rise Retrofit</w:t>
      </w:r>
    </w:p>
    <w:p>
      <w:pPr>
        <w:pStyle w:val="BodyText"/>
      </w:pPr>
      <w:r>
        <w:rPr>
          <w:bCs/>
          <w:b/>
        </w:rPr>
        <w:t xml:space="preserve">Reference:</w:t>
      </w:r>
      <w:r>
        <w:t xml:space="preserve"> </w:t>
      </w:r>
      <w:r>
        <w:t xml:space="preserve">PO-998877</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Unit Price</w:t>
            </w:r>
          </w:p>
        </w:tc>
        <w:tc>
          <w:tcPr/>
          <w:p>
            <w:pPr>
              <w:pStyle w:val="Compact"/>
              <w:jc w:val="left"/>
            </w:pPr>
            <w:r>
              <w:t xml:space="preserve">Amount (CAD)</w:t>
            </w:r>
          </w:p>
        </w:tc>
      </w:tr>
      <w:tr>
        <w:tc>
          <w:tcPr/>
          <w:p>
            <w:pPr>
              <w:pStyle w:val="Compact"/>
              <w:jc w:val="left"/>
            </w:pPr>
            <w:r>
              <w:rPr>
                <w:bCs/>
                <w:b/>
              </w:rPr>
              <w:t xml:space="preserve">Site Assessment &amp; Load Analysis</w:t>
            </w:r>
            <w:r>
              <w:br/>
            </w:r>
            <w:r>
              <w:t xml:space="preserve">Comprehensive on-site inspection of existing electrical infrastructure at the Granville Street location. This service includes a detailed audit of current load capacities, identification of code violations under the Canadian Electrical Code (CEC), and preliminary risk assessment for the retrofit project.</w:t>
            </w:r>
          </w:p>
        </w:tc>
        <w:tc>
          <w:tcPr/>
          <w:p>
            <w:pPr>
              <w:pStyle w:val="Compact"/>
              <w:jc w:val="left"/>
            </w:pPr>
            <w:r>
              <w:t xml:space="preserve">12.0</w:t>
            </w:r>
          </w:p>
        </w:tc>
        <w:tc>
          <w:tcPr/>
          <w:p>
            <w:pPr>
              <w:pStyle w:val="Compact"/>
              <w:jc w:val="left"/>
            </w:pPr>
            <w:r>
              <w:t xml:space="preserve">$175.00</w:t>
            </w:r>
          </w:p>
        </w:tc>
        <w:tc>
          <w:tcPr/>
          <w:p>
            <w:pPr>
              <w:pStyle w:val="Compact"/>
              <w:jc w:val="left"/>
            </w:pPr>
            <w:r>
              <w:t xml:space="preserve">$2,100.00</w:t>
            </w:r>
          </w:p>
        </w:tc>
      </w:tr>
      <w:tr>
        <w:tc>
          <w:tcPr/>
          <w:p>
            <w:pPr>
              <w:pStyle w:val="Compact"/>
              <w:jc w:val="left"/>
            </w:pPr>
            <w:r>
              <w:rPr>
                <w:bCs/>
                <w:b/>
              </w:rPr>
              <w:t xml:space="preserve">Electrical System Design &amp; Schematics</w:t>
            </w:r>
            <w:r>
              <w:br/>
            </w:r>
            <w:r>
              <w:t xml:space="preserve">Development of detailed single-line diagrams and wiring schematics for the new distribution panel. This work involves calculating voltage drops, selecting appropriate conduit sizes, and ensuring compliance with BC Safety Authority regulations. Includes CAD drafting and revision cycles.</w:t>
            </w:r>
          </w:p>
        </w:tc>
        <w:tc>
          <w:tcPr/>
          <w:p>
            <w:pPr>
              <w:pStyle w:val="Compact"/>
              <w:jc w:val="left"/>
            </w:pPr>
            <w:r>
              <w:t xml:space="preserve">45.5</w:t>
            </w:r>
          </w:p>
        </w:tc>
        <w:tc>
          <w:tcPr/>
          <w:p>
            <w:pPr>
              <w:pStyle w:val="Compact"/>
              <w:jc w:val="left"/>
            </w:pPr>
            <w:r>
              <w:t xml:space="preserve">$185.00</w:t>
            </w:r>
          </w:p>
        </w:tc>
        <w:tc>
          <w:tcPr/>
          <w:p>
            <w:pPr>
              <w:pStyle w:val="Compact"/>
              <w:jc w:val="left"/>
            </w:pPr>
            <w:r>
              <w:t xml:space="preserve">$8,417.50</w:t>
            </w:r>
          </w:p>
        </w:tc>
      </w:tr>
      <w:tr>
        <w:tc>
          <w:tcPr/>
          <w:p>
            <w:pPr>
              <w:pStyle w:val="Compact"/>
              <w:jc w:val="left"/>
            </w:pPr>
            <w:r>
              <w:rPr>
                <w:bCs/>
                <w:b/>
              </w:rPr>
              <w:t xml:space="preserve">Energy Efficiency Consulting</w:t>
            </w:r>
            <w:r>
              <w:br/>
            </w:r>
            <w:r>
              <w:t xml:space="preserve">Strategic consultation regarding the integration of LED lighting retrofits and smart building automation systems. The Electrical Engineer provided a cost-benefit analysis for upgrading to a high-efficiency transformer to meet Vancouver's Green Building standards.</w:t>
            </w:r>
          </w:p>
        </w:tc>
        <w:tc>
          <w:tcPr/>
          <w:p>
            <w:pPr>
              <w:pStyle w:val="Compact"/>
              <w:jc w:val="left"/>
            </w:pPr>
            <w:r>
              <w:t xml:space="preserve">8.0</w:t>
            </w:r>
          </w:p>
        </w:tc>
        <w:tc>
          <w:tcPr/>
          <w:p>
            <w:pPr>
              <w:pStyle w:val="Compact"/>
              <w:jc w:val="left"/>
            </w:pPr>
            <w:r>
              <w:t xml:space="preserve">$195.00</w:t>
            </w:r>
          </w:p>
        </w:tc>
        <w:tc>
          <w:tcPr/>
          <w:p>
            <w:pPr>
              <w:pStyle w:val="Compact"/>
              <w:jc w:val="left"/>
            </w:pPr>
            <w:r>
              <w:t xml:space="preserve">$1,560.00</w:t>
            </w:r>
          </w:p>
        </w:tc>
      </w:tr>
      <w:tr>
        <w:tc>
          <w:tcPr/>
          <w:p>
            <w:pPr>
              <w:pStyle w:val="Compact"/>
              <w:jc w:val="left"/>
            </w:pPr>
            <w:r>
              <w:rPr>
                <w:bCs/>
                <w:b/>
              </w:rPr>
              <w:t xml:space="preserve">Permitting &amp; Regulatory Compliance</w:t>
            </w:r>
            <w:r>
              <w:br/>
            </w:r>
            <w:r>
              <w:t xml:space="preserve">Preparation and submission of technical documentation required for electrical permits from the City of Vancouver. This includes ensuring all designs meet the latest amendments to the National Building Code of Canada and local municipal bylaws.</w:t>
            </w:r>
          </w:p>
        </w:tc>
        <w:tc>
          <w:tcPr/>
          <w:p>
            <w:pPr>
              <w:pStyle w:val="Compact"/>
              <w:jc w:val="left"/>
            </w:pPr>
            <w:r>
              <w:t xml:space="preserve">1 Flat Fee</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Project Management &amp; Coordination</w:t>
            </w:r>
            <w:r>
              <w:br/>
            </w:r>
            <w:r>
              <w:t xml:space="preserve">Liaison between the general contractor, utility providers (BC Hydro), and the engineering team. Includes weekly site visits to monitor installation progress against the engineered specifications and resolving technical queries on-site.</w:t>
            </w:r>
          </w:p>
        </w:tc>
        <w:tc>
          <w:tcPr/>
          <w:p>
            <w:pPr>
              <w:pStyle w:val="Compact"/>
              <w:jc w:val="left"/>
            </w:pPr>
            <w:r>
              <w:t xml:space="preserve">16.0</w:t>
            </w:r>
          </w:p>
        </w:tc>
        <w:tc>
          <w:tcPr/>
          <w:p>
            <w:pPr>
              <w:pStyle w:val="Compact"/>
              <w:jc w:val="left"/>
            </w:pPr>
            <w:r>
              <w:t xml:space="preserve">$165.00</w:t>
            </w:r>
          </w:p>
        </w:tc>
        <w:tc>
          <w:tcPr/>
          <w:p>
            <w:pPr>
              <w:pStyle w:val="Compact"/>
              <w:jc w:val="left"/>
            </w:pPr>
            <w:r>
              <w:t xml:space="preserve">$2,640.00</w:t>
            </w:r>
          </w:p>
        </w:tc>
      </w:tr>
    </w:tbl>
    <w:p>
      <w:pPr>
        <w:pStyle w:val="BodyText"/>
      </w:pPr>
      <w:r>
        <w:t xml:space="preserve">Subtotal:</w:t>
      </w:r>
      <w:r>
        <w:t xml:space="preserve"> </w:t>
      </w:r>
      <w:r>
        <w:t xml:space="preserve">$15,917.50</w:t>
      </w:r>
    </w:p>
    <w:p>
      <w:pPr>
        <w:pStyle w:val="BodyText"/>
      </w:pPr>
      <w:r>
        <w:t xml:space="preserve">Harmonized Sales Tax (HST) 5%:</w:t>
      </w:r>
      <w:r>
        <w:t xml:space="preserve"> </w:t>
      </w:r>
      <w:r>
        <w:t xml:space="preserve">$795.88</w:t>
      </w:r>
    </w:p>
    <w:p>
      <w:pPr>
        <w:pStyle w:val="BodyText"/>
      </w:pPr>
      <w:r>
        <w:t xml:space="preserve">Provincial Sales Tax (PST) 7%:</w:t>
      </w:r>
      <w:r>
        <w:t xml:space="preserve"> </w:t>
      </w:r>
      <w:r>
        <w:t xml:space="preserve">$1,114.23</w:t>
      </w:r>
    </w:p>
    <w:p>
      <w:pPr>
        <w:pStyle w:val="BodyText"/>
      </w:pPr>
      <w:r>
        <w:t xml:space="preserve">Total Due (CAD):</w:t>
      </w:r>
      <w:r>
        <w:t xml:space="preserve"> </w:t>
      </w:r>
      <w:r>
        <w:t xml:space="preserve">$17,827.61</w:t>
      </w:r>
    </w:p>
    <w:bookmarkStart w:id="22"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may be subject to a 1.5% monthly interest charge in accordance with the Interest Act of Canada.</w:t>
      </w:r>
      <w:r>
        <w:br/>
      </w:r>
      <w:r>
        <w:t xml:space="preserve">2.</w:t>
      </w:r>
      <w:r>
        <w:t xml:space="preserve"> </w:t>
      </w:r>
      <w:r>
        <w:rPr>
          <w:bCs/>
          <w:b/>
        </w:rPr>
        <w:t xml:space="preserve">Currency:</w:t>
      </w:r>
      <w:r>
        <w:t xml:space="preserve"> </w:t>
      </w:r>
      <w:r>
        <w:t xml:space="preserve">All amounts are quoted in Canadian Dollars (CAD).</w:t>
      </w:r>
      <w:r>
        <w:br/>
      </w:r>
      <w:r>
        <w:t xml:space="preserve">3.</w:t>
      </w:r>
      <w:r>
        <w:t xml:space="preserve"> </w:t>
      </w:r>
      <w:r>
        <w:rPr>
          <w:bCs/>
          <w:b/>
        </w:rPr>
        <w:t xml:space="preserve">Scope of Work:</w:t>
      </w:r>
      <w:r>
        <w:t xml:space="preserve"> </w:t>
      </w:r>
      <w:r>
        <w:t xml:space="preserve">This invoice covers professional services rendered by a licensed Professional Engineer (P.Eng.) registered with Engineers and Geoscientists British Columbia (EGBC).</w:t>
      </w:r>
      <w:r>
        <w:br/>
      </w:r>
      <w:r>
        <w:t xml:space="preserve">4.</w:t>
      </w:r>
      <w:r>
        <w:t xml:space="preserve"> </w:t>
      </w:r>
      <w:r>
        <w:rPr>
          <w:bCs/>
          <w:b/>
        </w:rPr>
        <w:t xml:space="preserve">Disputes:</w:t>
      </w:r>
      <w:r>
        <w:t xml:space="preserve"> </w:t>
      </w:r>
      <w:r>
        <w:t xml:space="preserve">Any disputes regarding this invoice must be raised in writing within 14 days of receipt.</w:t>
      </w:r>
      <w:r>
        <w:br/>
      </w:r>
      <w:r>
        <w:t xml:space="preserve">5.</w:t>
      </w:r>
      <w:r>
        <w:t xml:space="preserve"> </w:t>
      </w:r>
      <w:r>
        <w:rPr>
          <w:bCs/>
          <w:b/>
        </w:rPr>
        <w:t xml:space="preserve">Liability:</w:t>
      </w:r>
      <w:r>
        <w:t xml:space="preserve"> </w:t>
      </w:r>
      <w:r>
        <w:t xml:space="preserve">Our liability is limited to the value of the services provided as per our standard professional indemnity insurance policy.</w:t>
      </w:r>
      <w:r>
        <w:br/>
      </w:r>
      <w:r>
        <w:t xml:space="preserve">6.</w:t>
      </w:r>
      <w:r>
        <w:t xml:space="preserve"> </w:t>
      </w:r>
      <w:r>
        <w:rPr>
          <w:bCs/>
          <w:b/>
        </w:rPr>
        <w:t xml:space="preserve">Jurisdiction:</w:t>
      </w:r>
      <w:r>
        <w:t xml:space="preserve"> </w:t>
      </w:r>
      <w:r>
        <w:t xml:space="preserve">This agreement is governed by the laws of the Province of British Columbia and the federal laws of Canada applicable therein.</w:t>
      </w:r>
    </w:p>
    <w:bookmarkEnd w:id="22"/>
    <w:bookmarkStart w:id="23" w:name="payment-instructions"/>
    <w:p>
      <w:pPr>
        <w:pStyle w:val="Heading4"/>
      </w:pPr>
      <w:r>
        <w:t xml:space="preserve">Payment Instructions</w:t>
      </w:r>
    </w:p>
    <w:p>
      <w:pPr>
        <w:pStyle w:val="FirstParagraph"/>
      </w:pPr>
      <w:r>
        <w:t xml:space="preserve">Please make all cheques payable to</w:t>
      </w:r>
      <w:r>
        <w:t xml:space="preserve"> </w:t>
      </w:r>
      <w:r>
        <w:rPr>
          <w:bCs/>
          <w:b/>
        </w:rPr>
        <w:t xml:space="preserve">Northwest Power Systems Inc.</w:t>
      </w:r>
      <w:r>
        <w:br/>
      </w:r>
      <w:r>
        <w:t xml:space="preserve">For Electronic Funds Transfer (EFT):</w:t>
      </w:r>
      <w:r>
        <w:br/>
      </w:r>
      <w:r>
        <w:t xml:space="preserve">Bank: Royal Bank of Canada</w:t>
      </w:r>
      <w:r>
        <w:br/>
      </w:r>
      <w:r>
        <w:t xml:space="preserve">Branch: Vancouver Downtown</w:t>
      </w:r>
      <w:r>
        <w:br/>
      </w:r>
      <w:r>
        <w:t xml:space="preserve">Transit: 00012</w:t>
      </w:r>
      <w:r>
        <w:br/>
      </w:r>
      <w:r>
        <w:t xml:space="preserve">Institution: 003</w:t>
      </w:r>
      <w:r>
        <w:br/>
      </w:r>
      <w:r>
        <w:t xml:space="preserve">Account: 987654321</w:t>
      </w:r>
    </w:p>
    <w:bookmarkEnd w:id="23"/>
    <w:p>
      <w:pPr>
        <w:pStyle w:val="BodyText"/>
      </w:pPr>
      <w:r>
        <w:t xml:space="preserve">Thank you for your business. We appreciate the opportunity to contribute to the electrical infrastructure of Vancouver.</w:t>
      </w:r>
    </w:p>
    <w:p>
      <w:pPr>
        <w:pStyle w:val="BodyText"/>
      </w:pPr>
      <w:r>
        <w:t xml:space="preserve">Northwest Power Systems Inc. | 1234 Burrard Street, Vancouver, BC,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2026-10-10T03:32:57Z</dcterms:created>
  <dcterms:modified xsi:type="dcterms:W3CDTF">2026-10-10T03:32:57Z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