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volt-vector-engineering-gmbh"/>
    <w:p>
      <w:pPr>
        <w:pStyle w:val="Heading1"/>
      </w:pPr>
      <w:r>
        <w:t xml:space="preserve">Volt &amp; Vector Engineering GmbH</w:t>
      </w:r>
    </w:p>
    <w:p>
      <w:pPr>
        <w:pStyle w:val="FirstParagraph"/>
      </w:pPr>
      <w:r>
        <w:rPr>
          <w:bCs/>
          <w:b/>
        </w:rPr>
        <w:t xml:space="preserve">Specialized Electrical Engineering Services</w:t>
      </w:r>
    </w:p>
    <w:p>
      <w:pPr>
        <w:pStyle w:val="BodyText"/>
      </w:pPr>
      <w:r>
        <w:t xml:space="preserve">Mainzer Landstraße 120</w:t>
      </w:r>
    </w:p>
    <w:p>
      <w:pPr>
        <w:pStyle w:val="BodyText"/>
      </w:pPr>
      <w:r>
        <w:t xml:space="preserve">60325 Frankfurt am Main, Germany</w:t>
      </w:r>
    </w:p>
    <w:p>
      <w:pPr>
        <w:pStyle w:val="BodyText"/>
      </w:pPr>
      <w:r>
        <w:t xml:space="preserve">Phone: +49 69 12345678</w:t>
      </w:r>
    </w:p>
    <w:p>
      <w:pPr>
        <w:pStyle w:val="BodyText"/>
      </w:pPr>
      <w:r>
        <w:t xml:space="preserve">Email: billing@voltvector.de</w:t>
      </w:r>
    </w:p>
    <w:p>
      <w:pPr>
        <w:pStyle w:val="BodyText"/>
      </w:pPr>
      <w:r>
        <w:t xml:space="preserve">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w:t>
      </w:r>
      <w:r>
        <w:t xml:space="preserve"> </w:t>
      </w:r>
      <w:r>
        <w:t xml:space="preserve">FRK-HV-GRID-2023</w:t>
      </w:r>
    </w:p>
    <w:bookmarkEnd w:id="21"/>
    <w:bookmarkStart w:id="22" w:name="bill-to"/>
    <w:p>
      <w:pPr>
        <w:pStyle w:val="Heading3"/>
      </w:pPr>
      <w:r>
        <w:t xml:space="preserve">Bill To:</w:t>
      </w:r>
    </w:p>
    <w:p>
      <w:pPr>
        <w:pStyle w:val="FirstParagraph"/>
      </w:pPr>
      <w:r>
        <w:rPr>
          <w:bCs/>
          <w:b/>
        </w:rPr>
        <w:t xml:space="preserve">Frankfurt Energy Solutions AG</w:t>
      </w:r>
    </w:p>
    <w:p>
      <w:pPr>
        <w:pStyle w:val="BodyText"/>
      </w:pPr>
      <w:r>
        <w:t xml:space="preserve">Attn: Procurement Department</w:t>
      </w:r>
    </w:p>
    <w:p>
      <w:pPr>
        <w:pStyle w:val="BodyText"/>
      </w:pPr>
      <w:r>
        <w:t xml:space="preserve">Bockenheimer Landstraße 4-6</w:t>
      </w:r>
    </w:p>
    <w:p>
      <w:pPr>
        <w:pStyle w:val="BodyText"/>
      </w:pPr>
      <w:r>
        <w:t xml:space="preserve">60306 Frankfurt am Main, Germany</w:t>
      </w:r>
    </w:p>
    <w:p>
      <w:pPr>
        <w:pStyle w:val="BodyText"/>
      </w:pPr>
      <w:r>
        <w:t xml:space="preserve">USt-IdNr.: DE987654321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High-Voltage Grid Analysis &amp; Load Flow Study</w:t>
            </w:r>
            <w:r>
              <w:br/>
            </w:r>
            <w:r>
              <w:t xml:space="preserve">Comprehensive simulation and analysis of the 110kV distribution network in the Frankfurt financial district. This service includes the assessment of peak load scenarios, harmonic distortion analysis, and short-circuit current calculations in accordance with VDE 0102 standards. The Electrical Engineer performed detailed modeling using ETAP software to ensure grid stability and compliance with local utility regulations.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Protection Relay Coordination &amp; Settings</w:t>
            </w:r>
            <w:r>
              <w:br/>
            </w:r>
            <w:r>
              <w:t xml:space="preserve">Design and verification of protection schemes for the new substation infrastructure. The Electrical Engineer conducted time-current curve analysis to ensure selective coordination between upstream and downstream protective devices. This includes the configuration of numerical relays (Siemens 7SJ80 series) and the generation of setting sheets required for commissioning.</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3</w:t>
            </w:r>
          </w:p>
        </w:tc>
        <w:tc>
          <w:tcPr/>
          <w:p>
            <w:pPr>
              <w:pStyle w:val="Compact"/>
              <w:jc w:val="left"/>
            </w:pPr>
            <w:r>
              <w:rPr>
                <w:bCs/>
                <w:b/>
              </w:rPr>
              <w:t xml:space="preserve">Technical Documentation &amp; Compliance Reporting</w:t>
            </w:r>
            <w:r>
              <w:br/>
            </w:r>
            <w:r>
              <w:t xml:space="preserve">Preparation of detailed engineering reports, single-line diagrams (SLD), and cable sizing schedules. The documentation ensures full adherence to German electrical safety regulations (DGUV Regulation 3) and DIN VDE standards. This deliverable serves as the official technical record for the Frankfurt municipal inspection authority.</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On-Site Technical Consultation &amp; Site Survey</w:t>
            </w:r>
            <w:r>
              <w:br/>
            </w:r>
            <w:r>
              <w:t xml:space="preserve">Physical inspection of the existing switchgear rooms at the Frankfurt headquarters. The Electrical Engineer assessed thermal imaging results, verified grounding resistance measurements, and identified potential single points of failure in the backup power systems. Includes travel time and site safety briefing.</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bl>
    <w:p>
      <w:pPr>
        <w:pStyle w:val="BodyText"/>
      </w:pPr>
      <w:r>
        <w:t xml:space="preserve">Subtotal (Net):</w:t>
      </w:r>
      <w:r>
        <w:t xml:space="preserve"> </w:t>
      </w:r>
      <w:r>
        <w:t xml:space="preserve">15,825.00 EUR</w:t>
      </w:r>
    </w:p>
    <w:p>
      <w:pPr>
        <w:pStyle w:val="BodyText"/>
      </w:pPr>
      <w:r>
        <w:t xml:space="preserve">VAT (19% - Germany Standard Rate):</w:t>
      </w:r>
      <w:r>
        <w:t xml:space="preserve"> </w:t>
      </w:r>
      <w:r>
        <w:t xml:space="preserve">3,006.75 EUR</w:t>
      </w:r>
    </w:p>
    <w:p>
      <w:pPr>
        <w:pStyle w:val="BodyText"/>
      </w:pPr>
      <w:r>
        <w:t xml:space="preserve">TOTAL DUE:</w:t>
      </w:r>
      <w:r>
        <w:t xml:space="preserve"> </w:t>
      </w:r>
      <w:r>
        <w:t xml:space="preserve">18,831.75 EUR</w:t>
      </w:r>
    </w:p>
    <w:bookmarkStart w:id="23" w:name="payment-terms-banking-information"/>
    <w:p>
      <w:pPr>
        <w:pStyle w:val="Heading4"/>
      </w:pPr>
      <w:r>
        <w:t xml:space="preserve">Payment Terms &amp; Banking Information</w:t>
      </w:r>
    </w:p>
    <w:p>
      <w:pPr>
        <w:pStyle w:val="FirstParagraph"/>
      </w:pPr>
      <w:r>
        <w:t xml:space="preserve">Please remit payment within 30 days of the invoice date. Late payments may incur interest charges in accordance with German commercial law (BGB § 288).</w:t>
      </w:r>
    </w:p>
    <w:p>
      <w:pPr>
        <w:pStyle w:val="BodyText"/>
      </w:pPr>
      <w:r>
        <w:rPr>
          <w:bCs/>
          <w:b/>
        </w:rPr>
        <w:t xml:space="preserve">Bank Name:</w:t>
      </w:r>
      <w:r>
        <w:t xml:space="preserve"> </w:t>
      </w:r>
      <w:r>
        <w:t xml:space="preserve">Commerzbank AG</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Volt &amp; Vector Engineering GmbH</w:t>
      </w:r>
    </w:p>
    <w:p>
      <w:pPr>
        <w:pStyle w:val="BodyText"/>
      </w:pPr>
      <w:r>
        <w:rPr>
          <w:bCs/>
          <w:b/>
        </w:rPr>
        <w:t xml:space="preserve">Reference:</w:t>
      </w:r>
      <w:r>
        <w:t xml:space="preserve"> </w:t>
      </w:r>
      <w:r>
        <w:t xml:space="preserve">INV-2023-10-045</w:t>
      </w:r>
    </w:p>
    <w:bookmarkEnd w:id="23"/>
    <w:bookmarkStart w:id="24" w:name="service-notes"/>
    <w:p>
      <w:pPr>
        <w:pStyle w:val="Heading4"/>
      </w:pPr>
      <w:r>
        <w:t xml:space="preserve">Service Notes</w:t>
      </w:r>
    </w:p>
    <w:p>
      <w:pPr>
        <w:pStyle w:val="FirstParagraph"/>
      </w:pPr>
      <w:r>
        <w:t xml:space="preserve">This invoice reflects professional services rendered by a certified Electrical Engineer specializing in high-voltage infrastructure and industrial power systems. All calculations and designs provided are based on the latest valid editions of VDE and IEC standards applicable in Germany. The client acknowledges that the technical recommendations provided are based on the data available at the time of the survey and analysis.</w:t>
      </w:r>
    </w:p>
    <w:bookmarkEnd w:id="24"/>
    <w:p>
      <w:pPr>
        <w:pStyle w:val="BodyText"/>
      </w:pPr>
      <w:r>
        <w:t xml:space="preserve">Thank you for your business. We appreciate the opportunity to support your electrical infrastructure needs in Frankfurt.</w:t>
      </w:r>
    </w:p>
    <w:p>
      <w:pPr>
        <w:pStyle w:val="BodyText"/>
      </w:pPr>
      <w:r>
        <w:t xml:space="preserve">Volt &amp; Vector Engineering GmbH | Amtsgericht Frankfurt am Main | HRB 123456 | Managing Director: Dr. Hans Müller</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2026-10-10T01:52:23Z</dcterms:created>
  <dcterms:modified xsi:type="dcterms:W3CDTF">2026-10-10T01:52:23Z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