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advanced-electrical-solutions"/>
    <w:p>
      <w:pPr>
        <w:pStyle w:val="Heading1"/>
      </w:pPr>
      <w:r>
        <w:t xml:space="preserve">Tehran Advanced Electrical Solutions</w:t>
      </w:r>
    </w:p>
    <w:p>
      <w:pPr>
        <w:pStyle w:val="FirstParagraph"/>
      </w:pPr>
      <w:r>
        <w:rPr>
          <w:bCs/>
          <w:b/>
        </w:rPr>
        <w:t xml:space="preserve">Lead Electrical Engineer:</w:t>
      </w:r>
      <w:r>
        <w:t xml:space="preserve"> </w:t>
      </w:r>
      <w:r>
        <w:t xml:space="preserve">Dr. Ali Rezaei</w:t>
      </w:r>
    </w:p>
    <w:p>
      <w:pPr>
        <w:pStyle w:val="BodyText"/>
      </w:pPr>
      <w:r>
        <w:t xml:space="preserve">No. 42, Valiasr Street, Zone 1, Tehran, Iran</w:t>
      </w:r>
    </w:p>
    <w:p>
      <w:pPr>
        <w:pStyle w:val="BodyText"/>
      </w:pPr>
      <w:r>
        <w:t xml:space="preserve">Phone: +98 21 8888 9999</w:t>
      </w:r>
    </w:p>
    <w:p>
      <w:pPr>
        <w:pStyle w:val="BodyText"/>
      </w:pPr>
      <w:r>
        <w:t xml:space="preserve">Email: billing@taes-tehran.ir</w:t>
      </w:r>
    </w:p>
    <w:p>
      <w:pPr>
        <w:pStyle w:val="BodyText"/>
      </w:pPr>
      <w:r>
        <w:t xml:space="preserve">Registration No: 1234567890</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Tehran Smart City Development Corp.</w:t>
      </w:r>
    </w:p>
    <w:p>
      <w:pPr>
        <w:pStyle w:val="BodyText"/>
      </w:pPr>
      <w:r>
        <w:rPr>
          <w:bCs/>
          <w:b/>
        </w:rPr>
        <w:t xml:space="preserve">Address:</w:t>
      </w:r>
      <w:r>
        <w:t xml:space="preserve"> </w:t>
      </w:r>
      <w:r>
        <w:t xml:space="preserve">No. 15, Enghelab Avenue, Tehran, Iran</w:t>
      </w:r>
    </w:p>
    <w:p>
      <w:pPr>
        <w:pStyle w:val="BodyText"/>
      </w:pPr>
      <w:r>
        <w:rPr>
          <w:bCs/>
          <w:b/>
        </w:rPr>
        <w:t xml:space="preserve">Contact Person:</w:t>
      </w:r>
      <w:r>
        <w:t xml:space="preserve"> </w:t>
      </w:r>
      <w:r>
        <w:t xml:space="preserve">Mr. Hassan Mohammadi</w:t>
      </w:r>
    </w:p>
    <w:p>
      <w:pPr>
        <w:pStyle w:val="BodyText"/>
      </w:pPr>
      <w:r>
        <w:rPr>
          <w:bCs/>
          <w:b/>
        </w:rPr>
        <w:t xml:space="preserve">Email:</w:t>
      </w:r>
      <w:r>
        <w:t xml:space="preserve"> </w:t>
      </w:r>
      <w:r>
        <w:t xml:space="preserve">procurement@tscd-tehran.ir</w:t>
      </w:r>
    </w:p>
    <w:bookmarkEnd w:id="22"/>
    <w:p>
      <w:pPr>
        <w:pStyle w:val="BodyText"/>
      </w:pPr>
      <w:r>
        <w:rPr>
          <w:bCs/>
          <w:b/>
        </w:rPr>
        <w:t xml:space="preserve">Invoice Number:</w:t>
      </w:r>
      <w:r>
        <w:t xml:space="preserve"> </w:t>
      </w:r>
      <w:r>
        <w:t xml:space="preserve">INV-TEH-2023-089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High-Voltage Grid Optimization - Tehran North</w:t>
      </w:r>
    </w:p>
    <w:bookmarkStart w:id="23" w:name="project-overview"/>
    <w:p>
      <w:pPr>
        <w:pStyle w:val="Heading3"/>
      </w:pPr>
      <w:r>
        <w:t xml:space="preserve">Project Overview</w:t>
      </w:r>
    </w:p>
    <w:p>
      <w:pPr>
        <w:pStyle w:val="FirstParagraph"/>
      </w:pPr>
      <w:r>
        <w:t xml:space="preserve">This invoice covers the comprehensive electrical engineering consultancy and design services provided by our team of licensed Electrical Engineers based in Tehran, Iran. The scope of work included the detailed analysis of the existing power distribution infrastructure in the northern districts of Tehran. Our team conducted load flow studies, short-circuit analysis, and protection coordination to ensure compliance with the Iranian National Electrical Code (IEC standards adapted for Iran). The objective was to enhance grid stability and reduce transmission losses in a high-density urban environment.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Site Survey and Feasibility Study:</w:t>
            </w:r>
            <w:r>
              <w:t xml:space="preserve"> </w:t>
            </w:r>
            <w:r>
              <w:t xml:space="preserve">On-site inspection of substations in Tehran. Assessment of transformer capacity and cable routing.</w:t>
            </w:r>
          </w:p>
        </w:tc>
        <w:tc>
          <w:tcPr/>
          <w:p>
            <w:pPr>
              <w:pStyle w:val="Compact"/>
              <w:jc w:val="left"/>
            </w:pPr>
            <w:r>
              <w:t xml:space="preserve">40</w:t>
            </w:r>
          </w:p>
        </w:tc>
        <w:tc>
          <w:tcPr/>
          <w:p>
            <w:pPr>
              <w:pStyle w:val="Compact"/>
              <w:jc w:val="left"/>
            </w:pPr>
            <w:r>
              <w:t xml:space="preserve">5,000,000</w:t>
            </w:r>
          </w:p>
        </w:tc>
        <w:tc>
          <w:tcPr/>
          <w:p>
            <w:pPr>
              <w:pStyle w:val="Compact"/>
              <w:jc w:val="left"/>
            </w:pPr>
            <w:r>
              <w:t xml:space="preserve">200,000,000</w:t>
            </w:r>
          </w:p>
        </w:tc>
      </w:tr>
      <w:tr>
        <w:tc>
          <w:tcPr/>
          <w:p>
            <w:pPr>
              <w:pStyle w:val="Compact"/>
              <w:jc w:val="left"/>
            </w:pPr>
            <w:r>
              <w:t xml:space="preserve">2</w:t>
            </w:r>
          </w:p>
        </w:tc>
        <w:tc>
          <w:tcPr/>
          <w:p>
            <w:pPr>
              <w:pStyle w:val="Compact"/>
              <w:jc w:val="left"/>
            </w:pPr>
            <w:r>
              <w:rPr>
                <w:bCs/>
                <w:b/>
              </w:rPr>
              <w:t xml:space="preserve">Electrical System Design:</w:t>
            </w:r>
            <w:r>
              <w:t xml:space="preserve"> </w:t>
            </w:r>
            <w:r>
              <w:t xml:space="preserve">Creation of Single Line Diagrams (SLD) and load calculations using ETAP software.</w:t>
            </w:r>
          </w:p>
        </w:tc>
        <w:tc>
          <w:tcPr/>
          <w:p>
            <w:pPr>
              <w:pStyle w:val="Compact"/>
              <w:jc w:val="left"/>
            </w:pPr>
            <w:r>
              <w:t xml:space="preserve">60</w:t>
            </w:r>
          </w:p>
        </w:tc>
        <w:tc>
          <w:tcPr/>
          <w:p>
            <w:pPr>
              <w:pStyle w:val="Compact"/>
              <w:jc w:val="left"/>
            </w:pPr>
            <w:r>
              <w:t xml:space="preserve">6,500,000</w:t>
            </w:r>
          </w:p>
        </w:tc>
        <w:tc>
          <w:tcPr/>
          <w:p>
            <w:pPr>
              <w:pStyle w:val="Compact"/>
              <w:jc w:val="left"/>
            </w:pPr>
            <w:r>
              <w:t xml:space="preserve">390,000,000</w:t>
            </w:r>
          </w:p>
        </w:tc>
      </w:tr>
      <w:tr>
        <w:tc>
          <w:tcPr/>
          <w:p>
            <w:pPr>
              <w:pStyle w:val="Compact"/>
              <w:jc w:val="left"/>
            </w:pPr>
            <w:r>
              <w:t xml:space="preserve">3</w:t>
            </w:r>
          </w:p>
        </w:tc>
        <w:tc>
          <w:tcPr/>
          <w:p>
            <w:pPr>
              <w:pStyle w:val="Compact"/>
              <w:jc w:val="left"/>
            </w:pPr>
            <w:r>
              <w:rPr>
                <w:bCs/>
                <w:b/>
              </w:rPr>
              <w:t xml:space="preserve">Protection Coordination Study:</w:t>
            </w:r>
            <w:r>
              <w:t xml:space="preserve"> </w:t>
            </w:r>
            <w:r>
              <w:t xml:space="preserve">Analysis of relay settings to ensure selective tripping and system safety.</w:t>
            </w:r>
          </w:p>
        </w:tc>
        <w:tc>
          <w:tcPr/>
          <w:p>
            <w:pPr>
              <w:pStyle w:val="Compact"/>
              <w:jc w:val="left"/>
            </w:pPr>
            <w:r>
              <w:t xml:space="preserve">30</w:t>
            </w:r>
          </w:p>
        </w:tc>
        <w:tc>
          <w:tcPr/>
          <w:p>
            <w:pPr>
              <w:pStyle w:val="Compact"/>
              <w:jc w:val="left"/>
            </w:pPr>
            <w:r>
              <w:t xml:space="preserve">7,000,000</w:t>
            </w:r>
          </w:p>
        </w:tc>
        <w:tc>
          <w:tcPr/>
          <w:p>
            <w:pPr>
              <w:pStyle w:val="Compact"/>
              <w:jc w:val="left"/>
            </w:pPr>
            <w:r>
              <w:t xml:space="preserve">210,000,000</w:t>
            </w:r>
          </w:p>
        </w:tc>
      </w:tr>
      <w:tr>
        <w:tc>
          <w:tcPr/>
          <w:p>
            <w:pPr>
              <w:pStyle w:val="Compact"/>
              <w:jc w:val="left"/>
            </w:pPr>
            <w:r>
              <w:t xml:space="preserve">4</w:t>
            </w:r>
          </w:p>
        </w:tc>
        <w:tc>
          <w:tcPr/>
          <w:p>
            <w:pPr>
              <w:pStyle w:val="Compact"/>
              <w:jc w:val="left"/>
            </w:pPr>
            <w:r>
              <w:rPr>
                <w:bCs/>
                <w:b/>
              </w:rPr>
              <w:t xml:space="preserve">Technical Documentation:</w:t>
            </w:r>
            <w:r>
              <w:t xml:space="preserve"> </w:t>
            </w:r>
            <w:r>
              <w:t xml:space="preserve">Preparation of detailed engineering reports and specifications for procurement.</w:t>
            </w:r>
          </w:p>
        </w:tc>
        <w:tc>
          <w:tcPr/>
          <w:p>
            <w:pPr>
              <w:pStyle w:val="Compact"/>
              <w:jc w:val="left"/>
            </w:pPr>
            <w:r>
              <w:t xml:space="preserve">20</w:t>
            </w:r>
          </w:p>
        </w:tc>
        <w:tc>
          <w:tcPr/>
          <w:p>
            <w:pPr>
              <w:pStyle w:val="Compact"/>
              <w:jc w:val="left"/>
            </w:pPr>
            <w:r>
              <w:t xml:space="preserve">4,500,000</w:t>
            </w:r>
          </w:p>
        </w:tc>
        <w:tc>
          <w:tcPr/>
          <w:p>
            <w:pPr>
              <w:pStyle w:val="Compact"/>
              <w:jc w:val="left"/>
            </w:pPr>
            <w:r>
              <w:t xml:space="preserve">90,000,000</w:t>
            </w:r>
          </w:p>
        </w:tc>
      </w:tr>
      <w:tr>
        <w:tc>
          <w:tcPr/>
          <w:p>
            <w:pPr>
              <w:pStyle w:val="Compact"/>
              <w:jc w:val="left"/>
            </w:pPr>
            <w:r>
              <w:t xml:space="preserve">5</w:t>
            </w:r>
          </w:p>
        </w:tc>
        <w:tc>
          <w:tcPr/>
          <w:p>
            <w:pPr>
              <w:pStyle w:val="Compact"/>
              <w:jc w:val="left"/>
            </w:pPr>
            <w:r>
              <w:rPr>
                <w:bCs/>
                <w:b/>
              </w:rPr>
              <w:t xml:space="preserve">Consultation and Review:</w:t>
            </w:r>
            <w:r>
              <w:t xml:space="preserve"> </w:t>
            </w:r>
            <w:r>
              <w:t xml:space="preserve">Meetings with municipal authorities in Tehran regarding grid connection approvals.</w:t>
            </w:r>
          </w:p>
        </w:tc>
        <w:tc>
          <w:tcPr/>
          <w:p>
            <w:pPr>
              <w:pStyle w:val="Compact"/>
              <w:jc w:val="left"/>
            </w:pPr>
            <w:r>
              <w:t xml:space="preserve">10</w:t>
            </w:r>
          </w:p>
        </w:tc>
        <w:tc>
          <w:tcPr/>
          <w:p>
            <w:pPr>
              <w:pStyle w:val="Compact"/>
              <w:jc w:val="left"/>
            </w:pPr>
            <w:r>
              <w:t xml:space="preserve">5,500,000</w:t>
            </w:r>
          </w:p>
        </w:tc>
        <w:tc>
          <w:tcPr/>
          <w:p>
            <w:pPr>
              <w:pStyle w:val="Compact"/>
              <w:jc w:val="left"/>
            </w:pPr>
            <w:r>
              <w:t xml:space="preserve">55,000,000</w:t>
            </w:r>
          </w:p>
        </w:tc>
      </w:tr>
    </w:tbl>
    <w:p>
      <w:pPr>
        <w:pStyle w:val="BodyText"/>
      </w:pPr>
      <w:r>
        <w:t xml:space="preserve">Subtotal:</w:t>
      </w:r>
      <w:r>
        <w:t xml:space="preserve"> </w:t>
      </w:r>
      <w:r>
        <w:t xml:space="preserve">945,000,000 IRR</w:t>
      </w:r>
    </w:p>
    <w:p>
      <w:pPr>
        <w:pStyle w:val="BodyText"/>
      </w:pPr>
      <w:r>
        <w:t xml:space="preserve">Value Added Tax (VAT) - 9%:</w:t>
      </w:r>
      <w:r>
        <w:t xml:space="preserve"> </w:t>
      </w:r>
      <w:r>
        <w:t xml:space="preserve">85,050,000 IRR</w:t>
      </w:r>
    </w:p>
    <w:p>
      <w:pPr>
        <w:pStyle w:val="BodyText"/>
      </w:pPr>
      <w:r>
        <w:t xml:space="preserve">Grand Total:</w:t>
      </w:r>
      <w:r>
        <w:t xml:space="preserve"> </w:t>
      </w:r>
      <w:r>
        <w:t xml:space="preserve">1,030,050,000 IRR</w:t>
      </w:r>
    </w:p>
    <w:p>
      <w:pPr>
        <w:pStyle w:val="BodyText"/>
      </w:pPr>
      <w:r>
        <w:t xml:space="preserve">Amount in words: One Billion Thirty Million Fifty Thousand Iranian Rials.</w:t>
      </w:r>
    </w:p>
    <w:bookmarkStart w:id="24" w:name="payment-terms-and-conditions"/>
    <w:p>
      <w:pPr>
        <w:pStyle w:val="Heading3"/>
      </w:pPr>
      <w:r>
        <w:t xml:space="preserve">Payment Terms and Conditions</w:t>
      </w:r>
    </w:p>
    <w:p>
      <w:pPr>
        <w:numPr>
          <w:ilvl w:val="0"/>
          <w:numId w:val="1001"/>
        </w:numPr>
        <w:pStyle w:val="Compact"/>
      </w:pPr>
      <w:r>
        <w:rPr>
          <w:bCs/>
          <w:b/>
        </w:rPr>
        <w:t xml:space="preserve">Currency:</w:t>
      </w:r>
      <w:r>
        <w:t xml:space="preserve"> </w:t>
      </w:r>
      <w:r>
        <w:t xml:space="preserve">All amounts are quoted in Iranian Rials (IRR).</w:t>
      </w:r>
    </w:p>
    <w:p>
      <w:pPr>
        <w:numPr>
          <w:ilvl w:val="0"/>
          <w:numId w:val="1001"/>
        </w:numPr>
        <w:pStyle w:val="Compact"/>
      </w:pPr>
      <w:r>
        <w:rPr>
          <w:bCs/>
          <w:b/>
        </w:rPr>
        <w:t xml:space="preserve">Payment Method:</w:t>
      </w:r>
      <w:r>
        <w:t xml:space="preserve"> </w:t>
      </w:r>
      <w:r>
        <w:t xml:space="preserve">Payment should be made via bank transfer to the account details below.</w:t>
      </w:r>
    </w:p>
    <w:p>
      <w:pPr>
        <w:numPr>
          <w:ilvl w:val="0"/>
          <w:numId w:val="1001"/>
        </w:numPr>
        <w:pStyle w:val="Compact"/>
      </w:pPr>
      <w:r>
        <w:rPr>
          <w:bCs/>
          <w:b/>
        </w:rPr>
        <w:t xml:space="preserve">Bank Name:</w:t>
      </w:r>
      <w:r>
        <w:t xml:space="preserve"> </w:t>
      </w:r>
      <w:r>
        <w:t xml:space="preserve">Bank Melli Iran</w:t>
      </w:r>
    </w:p>
    <w:p>
      <w:pPr>
        <w:numPr>
          <w:ilvl w:val="0"/>
          <w:numId w:val="1001"/>
        </w:numPr>
        <w:pStyle w:val="Compact"/>
      </w:pPr>
      <w:r>
        <w:rPr>
          <w:bCs/>
          <w:b/>
        </w:rPr>
        <w:t xml:space="preserve">Branch:</w:t>
      </w:r>
      <w:r>
        <w:t xml:space="preserve"> </w:t>
      </w:r>
      <w:r>
        <w:t xml:space="preserve">Valiasr Branch, Tehran</w:t>
      </w:r>
    </w:p>
    <w:p>
      <w:pPr>
        <w:numPr>
          <w:ilvl w:val="0"/>
          <w:numId w:val="1001"/>
        </w:numPr>
        <w:pStyle w:val="Compact"/>
      </w:pPr>
      <w:r>
        <w:rPr>
          <w:bCs/>
          <w:b/>
        </w:rPr>
        <w:t xml:space="preserve">Account Number:</w:t>
      </w:r>
      <w:r>
        <w:t xml:space="preserve"> </w:t>
      </w:r>
      <w:r>
        <w:t xml:space="preserve">1234-5678-9012-3456</w:t>
      </w:r>
    </w:p>
    <w:p>
      <w:pPr>
        <w:numPr>
          <w:ilvl w:val="0"/>
          <w:numId w:val="1001"/>
        </w:numPr>
        <w:pStyle w:val="Compact"/>
      </w:pPr>
      <w:r>
        <w:rPr>
          <w:bCs/>
          <w:b/>
        </w:rPr>
        <w:t xml:space="preserve">SWIFT Code:</w:t>
      </w:r>
      <w:r>
        <w:t xml:space="preserve"> </w:t>
      </w:r>
      <w:r>
        <w:t xml:space="preserve">MELLIRTH</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2% per month will be applied to overdue balances.</w:t>
      </w:r>
    </w:p>
    <w:p>
      <w:pPr>
        <w:pStyle w:val="FirstParagraph"/>
      </w:pPr>
      <w:r>
        <w:t xml:space="preserve">Please note that as per the regulations for Electrical Engineers operating in Iran, all designs submitted with this invoice are certified and meet the safety standards required by the Tehran Electricity Distribution Company.</w:t>
      </w:r>
    </w:p>
    <w:bookmarkEnd w:id="24"/>
    <w:p>
      <w:pPr>
        <w:pStyle w:val="BodyText"/>
      </w:pPr>
      <w:r>
        <w:rPr>
          <w:bCs/>
          <w:b/>
        </w:rPr>
        <w:t xml:space="preserve">Authorized Signature</w:t>
      </w:r>
    </w:p>
    <w:p>
      <w:pPr>
        <w:pStyle w:val="BodyText"/>
      </w:pPr>
      <w:r>
        <w:t xml:space="preserve">Dr. Ali Rezaei</w:t>
      </w:r>
    </w:p>
    <w:p>
      <w:pPr>
        <w:pStyle w:val="BodyText"/>
      </w:pPr>
      <w:r>
        <w:t xml:space="preserve">Chief Electrical Engineer</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engineering expertise.</w:t>
      </w:r>
      <w:r>
        <w:br/>
      </w:r>
      <w:r>
        <w:t xml:space="preserve">Tehran Advanced Electrical Solutions - Delivering Power to the Future of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Tehran, Iran</dc:title>
  <dc:creator/>
  <dc:language>en</dc:language>
  <cp:keywords/>
  <dcterms:created xsi:type="dcterms:W3CDTF">2026-10-10T01:03:09Z</dcterms:created>
  <dcterms:modified xsi:type="dcterms:W3CDTF">2026-10-10T01:03:09Z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