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manila-power-systems-engineering"/>
    <w:p>
      <w:pPr>
        <w:pStyle w:val="Heading1"/>
      </w:pPr>
      <w:r>
        <w:t xml:space="preserve">Manila Power Systems Engineering</w:t>
      </w:r>
    </w:p>
    <w:p>
      <w:pPr>
        <w:pStyle w:val="FirstParagraph"/>
      </w:pPr>
      <w:r>
        <w:rPr>
          <w:bCs/>
          <w:b/>
        </w:rPr>
        <w:t xml:space="preserve">Professional Electrical Engineering Services</w:t>
      </w:r>
    </w:p>
    <w:p>
      <w:pPr>
        <w:pStyle w:val="BodyText"/>
      </w:pPr>
      <w:r>
        <w:t xml:space="preserve">Unit 402, Ayala Tower One, Makati Avenue</w:t>
      </w:r>
    </w:p>
    <w:p>
      <w:pPr>
        <w:pStyle w:val="BodyText"/>
      </w:pPr>
      <w:r>
        <w:t xml:space="preserve">Makati City, Metro Manila, Philippines 1226</w:t>
      </w:r>
    </w:p>
    <w:p>
      <w:pPr>
        <w:pStyle w:val="BodyText"/>
      </w:pPr>
      <w:r>
        <w:t xml:space="preserve">Tel: +63 (2) 8888-9999 | Email: billing@manilapowereng.com</w:t>
      </w:r>
    </w:p>
    <w:p>
      <w:pPr>
        <w:pStyle w:val="BodyText"/>
      </w:pPr>
      <w:r>
        <w:t xml:space="preserve">TIN: 123-456-789-000 | BIR Certificate of Registration No. 000-000-000-000</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Project Ref: MNL-HV-UPGRADE-2023</w:t>
      </w:r>
    </w:p>
    <w:bookmarkEnd w:id="21"/>
    <w:bookmarkStart w:id="22" w:name="bill-to"/>
    <w:p>
      <w:pPr>
        <w:pStyle w:val="Heading3"/>
      </w:pPr>
      <w:r>
        <w:t xml:space="preserve">Bill To:</w:t>
      </w:r>
    </w:p>
    <w:p>
      <w:pPr>
        <w:pStyle w:val="FirstParagraph"/>
      </w:pPr>
      <w:r>
        <w:rPr>
          <w:bCs/>
          <w:b/>
        </w:rPr>
        <w:t xml:space="preserve">Green Archipelago Development Corp.</w:t>
      </w:r>
    </w:p>
    <w:p>
      <w:pPr>
        <w:pStyle w:val="BodyText"/>
      </w:pPr>
      <w:r>
        <w:t xml:space="preserve">Attn: Mr. Juan Dela Cruz, Chief Operations Officer</w:t>
      </w:r>
    </w:p>
    <w:p>
      <w:pPr>
        <w:pStyle w:val="BodyText"/>
      </w:pPr>
      <w:r>
        <w:t xml:space="preserve">10th Floor, Ortigas Center Tower, Ortigas Avenue</w:t>
      </w:r>
    </w:p>
    <w:p>
      <w:pPr>
        <w:pStyle w:val="BodyText"/>
      </w:pPr>
      <w:r>
        <w:t xml:space="preserve">Pasig City, Metro Manila, Philippines 1605</w:t>
      </w:r>
    </w:p>
    <w:p>
      <w:pPr>
        <w:pStyle w:val="BodyText"/>
      </w:pPr>
      <w:r>
        <w:t xml:space="preserve">TIN: 987-654-321-000</w:t>
      </w:r>
    </w:p>
    <w:bookmarkEnd w:id="22"/>
    <w:p>
      <w:pPr>
        <w:pStyle w:val="BodyText"/>
      </w:pPr>
      <w:r>
        <w:t xml:space="preserve">This document serves as the official Invoice for professional services rendered by a licensed Electrical Engineer in the Philippines Manila region. The services detailed below were executed in strict accordance with the Philippine Electrical Code (PEC), the National Building Code of the Philippines, and the standards set forth by the Professional Regulation Commission (PRC).</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rPr>
                <w:bCs/>
                <w:b/>
              </w:rPr>
              <w:t xml:space="preserve">Site Inspection &amp; Load Analysis</w:t>
            </w:r>
            <w:r>
              <w:br/>
            </w:r>
            <w:r>
              <w:t xml:space="preserve">Comprehensive assessment of existing electrical infrastructure at the client's facility in Manila. This includes verifying compliance with local Manila Electric Company (Meralco) requirements and calculating peak load demands.</w:t>
            </w:r>
          </w:p>
        </w:tc>
        <w:tc>
          <w:tcPr/>
          <w:p>
            <w:pPr>
              <w:pStyle w:val="Compact"/>
              <w:jc w:val="left"/>
            </w:pPr>
            <w:r>
              <w:t xml:space="preserve">12 Hrs</w:t>
            </w:r>
          </w:p>
        </w:tc>
        <w:tc>
          <w:tcPr/>
          <w:p>
            <w:pPr>
              <w:pStyle w:val="Compact"/>
              <w:jc w:val="left"/>
            </w:pPr>
            <w:r>
              <w:t xml:space="preserve">2,500.00</w:t>
            </w:r>
          </w:p>
        </w:tc>
        <w:tc>
          <w:tcPr/>
          <w:p>
            <w:pPr>
              <w:pStyle w:val="Compact"/>
              <w:jc w:val="left"/>
            </w:pPr>
            <w:r>
              <w:t xml:space="preserve">30,000.00</w:t>
            </w:r>
          </w:p>
        </w:tc>
      </w:tr>
      <w:tr>
        <w:tc>
          <w:tcPr/>
          <w:p>
            <w:pPr>
              <w:pStyle w:val="Compact"/>
              <w:jc w:val="left"/>
            </w:pPr>
            <w:r>
              <w:rPr>
                <w:bCs/>
                <w:b/>
              </w:rPr>
              <w:t xml:space="preserve">Electrical System Design &amp; Schematics</w:t>
            </w:r>
            <w:r>
              <w:br/>
            </w:r>
            <w:r>
              <w:t xml:space="preserve">Preparation of detailed single-line diagrams, wiring layouts, and panel schedules. The design ensures redundancy and safety for high-voltage applications typical in Metro Manila commercial zones.</w:t>
            </w:r>
          </w:p>
        </w:tc>
        <w:tc>
          <w:tcPr/>
          <w:p>
            <w:pPr>
              <w:pStyle w:val="Compact"/>
              <w:jc w:val="left"/>
            </w:pPr>
            <w:r>
              <w:t xml:space="preserve">40 Hrs</w:t>
            </w:r>
          </w:p>
        </w:tc>
        <w:tc>
          <w:tcPr/>
          <w:p>
            <w:pPr>
              <w:pStyle w:val="Compact"/>
              <w:jc w:val="left"/>
            </w:pPr>
            <w:r>
              <w:t xml:space="preserve">3,000.00</w:t>
            </w:r>
          </w:p>
        </w:tc>
        <w:tc>
          <w:tcPr/>
          <w:p>
            <w:pPr>
              <w:pStyle w:val="Compact"/>
              <w:jc w:val="left"/>
            </w:pPr>
            <w:r>
              <w:t xml:space="preserve">120,000.00</w:t>
            </w:r>
          </w:p>
        </w:tc>
      </w:tr>
      <w:tr>
        <w:tc>
          <w:tcPr/>
          <w:p>
            <w:pPr>
              <w:pStyle w:val="Compact"/>
              <w:jc w:val="left"/>
            </w:pPr>
            <w:r>
              <w:rPr>
                <w:bCs/>
                <w:b/>
              </w:rPr>
              <w:t xml:space="preserve">Permitting &amp; Regulatory Compliance</w:t>
            </w:r>
            <w:r>
              <w:br/>
            </w:r>
            <w:r>
              <w:t xml:space="preserve">Filing of electrical plans with the Local Government Unit (LGU) of Manila and coordination with the Bureau of Fire Protection (BFP) for electrical safety clearance.</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Project Supervision &amp; Quality Assurance</w:t>
            </w:r>
            <w:r>
              <w:br/>
            </w:r>
            <w:r>
              <w:t xml:space="preserve">On-site supervision of electrical installation to ensure adherence to the engineered plans. Includes weekly progress reports and safety audits.</w:t>
            </w:r>
          </w:p>
        </w:tc>
        <w:tc>
          <w:tcPr/>
          <w:p>
            <w:pPr>
              <w:pStyle w:val="Compact"/>
              <w:jc w:val="left"/>
            </w:pPr>
            <w:r>
              <w:t xml:space="preserve">20 Hrs</w:t>
            </w:r>
          </w:p>
        </w:tc>
        <w:tc>
          <w:tcPr/>
          <w:p>
            <w:pPr>
              <w:pStyle w:val="Compact"/>
              <w:jc w:val="left"/>
            </w:pPr>
            <w:r>
              <w:t xml:space="preserve">2,800.00</w:t>
            </w:r>
          </w:p>
        </w:tc>
        <w:tc>
          <w:tcPr/>
          <w:p>
            <w:pPr>
              <w:pStyle w:val="Compact"/>
              <w:jc w:val="left"/>
            </w:pPr>
            <w:r>
              <w:t xml:space="preserve">56,000.00</w:t>
            </w:r>
          </w:p>
        </w:tc>
      </w:tr>
      <w:tr>
        <w:tc>
          <w:tcPr/>
          <w:p>
            <w:pPr>
              <w:pStyle w:val="Compact"/>
              <w:jc w:val="left"/>
            </w:pPr>
            <w:r>
              <w:rPr>
                <w:bCs/>
                <w:b/>
              </w:rPr>
              <w:t xml:space="preserve">Final Testing &amp; Commissioning</w:t>
            </w:r>
            <w:r>
              <w:br/>
            </w:r>
            <w:r>
              <w:t xml:space="preserve">Execution of insulation resistance tests, continuity checks, and load testing. Issuance of the Certificate of Completion required for Meralco connection.</w:t>
            </w:r>
          </w:p>
        </w:tc>
        <w:tc>
          <w:tcPr/>
          <w:p>
            <w:pPr>
              <w:pStyle w:val="Compact"/>
              <w:jc w:val="left"/>
            </w:pPr>
            <w:r>
              <w:t xml:space="preserve">16 Hrs</w:t>
            </w:r>
          </w:p>
        </w:tc>
        <w:tc>
          <w:tcPr/>
          <w:p>
            <w:pPr>
              <w:pStyle w:val="Compact"/>
              <w:jc w:val="left"/>
            </w:pPr>
            <w:r>
              <w:t xml:space="preserve">3,200.00</w:t>
            </w:r>
          </w:p>
        </w:tc>
        <w:tc>
          <w:tcPr/>
          <w:p>
            <w:pPr>
              <w:pStyle w:val="Compact"/>
              <w:jc w:val="left"/>
            </w:pPr>
            <w:r>
              <w:t xml:space="preserve">51,200.00</w:t>
            </w:r>
          </w:p>
        </w:tc>
      </w:tr>
    </w:tbl>
    <w:p>
      <w:pPr>
        <w:pStyle w:val="BodyText"/>
      </w:pPr>
      <w:r>
        <w:t xml:space="preserve">Subtotal:</w:t>
      </w:r>
      <w:r>
        <w:t xml:space="preserve"> </w:t>
      </w:r>
      <w:r>
        <w:t xml:space="preserve">282,200.00 PHP</w:t>
      </w:r>
    </w:p>
    <w:p>
      <w:pPr>
        <w:pStyle w:val="BodyText"/>
      </w:pPr>
      <w:r>
        <w:t xml:space="preserve">VAT (12%):</w:t>
      </w:r>
      <w:r>
        <w:t xml:space="preserve"> </w:t>
      </w:r>
      <w:r>
        <w:t xml:space="preserve">33,864.00 PHP</w:t>
      </w:r>
    </w:p>
    <w:p>
      <w:pPr>
        <w:pStyle w:val="BodyText"/>
      </w:pPr>
      <w:r>
        <w:t xml:space="preserve">Total Due:</w:t>
      </w:r>
      <w:r>
        <w:t xml:space="preserve"> </w:t>
      </w:r>
      <w:r>
        <w:t xml:space="preserve">316,064.00 PHP</w:t>
      </w:r>
    </w:p>
    <w:bookmarkStart w:id="23" w:name="payment-terms-conditions"/>
    <w:p>
      <w:pPr>
        <w:pStyle w:val="Heading4"/>
      </w:pPr>
      <w:r>
        <w:t xml:space="preserve">Payment Terms &amp; Conditions</w:t>
      </w:r>
    </w:p>
    <w:p>
      <w:pPr>
        <w:pStyle w:val="FirstParagraph"/>
      </w:pPr>
      <w:r>
        <w:t xml:space="preserve">Payment is due within 30 days from the date of this Invoice. Please make checks payable to "Manila Power Systems Engineering" or utilize bank transfer to the following account:</w:t>
      </w:r>
    </w:p>
    <w:p>
      <w:pPr>
        <w:pStyle w:val="BodyText"/>
      </w:pPr>
      <w:r>
        <w:rPr>
          <w:bCs/>
          <w:b/>
        </w:rPr>
        <w:t xml:space="preserve">Bank:</w:t>
      </w:r>
      <w:r>
        <w:t xml:space="preserve"> </w:t>
      </w:r>
      <w:r>
        <w:t xml:space="preserve">BDO Unibank</w:t>
      </w:r>
      <w:r>
        <w:br/>
      </w:r>
      <w:r>
        <w:rPr>
          <w:bCs/>
          <w:b/>
        </w:rPr>
        <w:t xml:space="preserve">Branch:</w:t>
      </w:r>
      <w:r>
        <w:t xml:space="preserve"> </w:t>
      </w:r>
      <w:r>
        <w:t xml:space="preserve">Manila Central Branch</w:t>
      </w:r>
      <w:r>
        <w:br/>
      </w:r>
      <w:r>
        <w:rPr>
          <w:bCs/>
          <w:b/>
        </w:rPr>
        <w:t xml:space="preserve">Account Name:</w:t>
      </w:r>
      <w:r>
        <w:t xml:space="preserve"> </w:t>
      </w:r>
      <w:r>
        <w:t xml:space="preserve">Manila Power Systems Engineering Inc.</w:t>
      </w:r>
      <w:r>
        <w:br/>
      </w:r>
      <w:r>
        <w:rPr>
          <w:bCs/>
          <w:b/>
        </w:rPr>
        <w:t xml:space="preserve">Account No:</w:t>
      </w:r>
      <w:r>
        <w:t xml:space="preserve"> </w:t>
      </w:r>
      <w:r>
        <w:t xml:space="preserve">1234-5678-9012</w:t>
      </w:r>
    </w:p>
    <w:p>
      <w:pPr>
        <w:pStyle w:val="BodyText"/>
      </w:pPr>
      <w:r>
        <w:t xml:space="preserve">Late payments will incur a penalty interest of 1.5% per month on the outstanding balance. This Invoice is valid for tax purposes in the Philippines and complies with Bureau of Internal Revenue (BIR) regulations.</w:t>
      </w:r>
    </w:p>
    <w:bookmarkEnd w:id="23"/>
    <w:bookmarkStart w:id="24" w:name="technical-notes"/>
    <w:p>
      <w:pPr>
        <w:pStyle w:val="Heading4"/>
      </w:pPr>
      <w:r>
        <w:t xml:space="preserve">Technical Notes</w:t>
      </w:r>
    </w:p>
    <w:p>
      <w:pPr>
        <w:pStyle w:val="FirstParagraph"/>
      </w:pPr>
      <w:r>
        <w:t xml:space="preserve">The services provided by this Electrical Engineer are critical for the safety and efficiency of the facility. All designs have been optimized for the specific environmental conditions of Manila, including humidity and voltage fluctuations. The client acknowledges that the electrical system has been designed to meet the current Philippine National Standards (PNS).</w:t>
      </w:r>
    </w:p>
    <w:bookmarkEnd w:id="24"/>
    <w:p>
      <w:pPr>
        <w:pStyle w:val="BodyText"/>
      </w:pPr>
      <w:r>
        <w:rPr>
          <w:bCs/>
          <w:b/>
        </w:rPr>
        <w:t xml:space="preserve">Issued By:</w:t>
      </w:r>
    </w:p>
    <w:p>
      <w:pPr>
        <w:pStyle w:val="BodyText"/>
      </w:pPr>
      <w:r>
        <w:t xml:space="preserve">Engr. Maria Santos, R.E.E.</w:t>
      </w:r>
    </w:p>
    <w:p>
      <w:pPr>
        <w:pStyle w:val="BodyText"/>
      </w:pPr>
      <w:r>
        <w:t xml:space="preserve">Principal Electrical Engineer</w:t>
      </w:r>
    </w:p>
    <w:p>
      <w:pPr>
        <w:pStyle w:val="BodyText"/>
      </w:pPr>
      <w:r>
        <w:t xml:space="preserve">PRC License No. 123456</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2026-10-10T05:41:20Z</dcterms:created>
  <dcterms:modified xsi:type="dcterms:W3CDTF">2026-10-10T05:41:20Z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