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Electrical</w:t>
      </w:r>
      <w:r>
        <w:t xml:space="preserve"> </w:t>
      </w:r>
      <w:r>
        <w:t xml:space="preserve">Engineering</w:t>
      </w:r>
      <w:r>
        <w:t xml:space="preserve"> </w:t>
      </w:r>
      <w:r>
        <w:t xml:space="preserve">Services</w:t>
      </w:r>
    </w:p>
    <w:bookmarkStart w:id="20" w:name="neurovolt-engineering-solutions"/>
    <w:p>
      <w:pPr>
        <w:pStyle w:val="Heading1"/>
      </w:pPr>
      <w:r>
        <w:t xml:space="preserve">NeuroVolt Engineering Solutions</w:t>
      </w:r>
    </w:p>
    <w:p>
      <w:pPr>
        <w:pStyle w:val="FirstParagraph"/>
      </w:pPr>
      <w:r>
        <w:rPr>
          <w:bCs/>
          <w:b/>
        </w:rPr>
        <w:t xml:space="preserve">Specialized Electrical Engineering &amp; Automation</w:t>
      </w:r>
    </w:p>
    <w:p>
      <w:pPr>
        <w:pStyle w:val="BodyText"/>
      </w:pPr>
      <w:r>
        <w:t xml:space="preserve">19th Line, Vasilievsky Island, Building 42, Office 305</w:t>
      </w:r>
    </w:p>
    <w:p>
      <w:pPr>
        <w:pStyle w:val="BodyText"/>
      </w:pPr>
      <w:r>
        <w:t xml:space="preserve">Saint Petersburg, Russia, 199178</w:t>
      </w:r>
    </w:p>
    <w:p>
      <w:pPr>
        <w:pStyle w:val="BodyText"/>
      </w:pPr>
      <w:r>
        <w:t xml:space="preserve">Tax ID (INN): 7805123456 | KPP: 780501001</w:t>
      </w:r>
    </w:p>
    <w:p>
      <w:pPr>
        <w:pStyle w:val="BodyText"/>
      </w:pPr>
      <w:r>
        <w:t xml:space="preserve">Email: billing@neurovolt-spb.ru | Phone: +7 (812) 555-01-99</w:t>
      </w:r>
    </w:p>
    <w:bookmarkEnd w:id="20"/>
    <w:bookmarkStart w:id="21" w:name="invoice"/>
    <w:p>
      <w:pPr>
        <w:pStyle w:val="Heading2"/>
      </w:pPr>
      <w:r>
        <w:t xml:space="preserve">INVOICE</w:t>
      </w:r>
    </w:p>
    <w:p>
      <w:pPr>
        <w:pStyle w:val="FirstParagraph"/>
      </w:pPr>
      <w:r>
        <w:t xml:space="preserve">Invoice Number: INV-RU-2023-089</w:t>
      </w:r>
    </w:p>
    <w:p>
      <w:pPr>
        <w:pStyle w:val="BodyText"/>
      </w:pPr>
      <w:r>
        <w:t xml:space="preserve">Date Issued: October 24, 2023</w:t>
      </w:r>
    </w:p>
    <w:p>
      <w:pPr>
        <w:pStyle w:val="BodyText"/>
      </w:pPr>
      <w:r>
        <w:t xml:space="preserve">Due Date: November 07, 2023</w:t>
      </w:r>
    </w:p>
    <w:p>
      <w:pPr>
        <w:pStyle w:val="BodyText"/>
      </w:pPr>
      <w:r>
        <w:t xml:space="preserve">Project Reference: SPB-IND-AUTO-2023</w:t>
      </w:r>
    </w:p>
    <w:bookmarkEnd w:id="21"/>
    <w:bookmarkStart w:id="22" w:name="bill-to"/>
    <w:p>
      <w:pPr>
        <w:pStyle w:val="Heading3"/>
      </w:pPr>
      <w:r>
        <w:t xml:space="preserve">Bill To:</w:t>
      </w:r>
    </w:p>
    <w:p>
      <w:pPr>
        <w:pStyle w:val="FirstParagraph"/>
      </w:pPr>
      <w:r>
        <w:rPr>
          <w:bCs/>
          <w:b/>
        </w:rPr>
        <w:t xml:space="preserve">PetroTech Manufacturing Plant LLC</w:t>
      </w:r>
    </w:p>
    <w:p>
      <w:pPr>
        <w:pStyle w:val="BodyText"/>
      </w:pPr>
      <w:r>
        <w:t xml:space="preserve">Attention: Chief Technical Officer, Mr. Alexander Volkov</w:t>
      </w:r>
    </w:p>
    <w:p>
      <w:pPr>
        <w:pStyle w:val="BodyText"/>
      </w:pPr>
      <w:r>
        <w:t xml:space="preserve">Industrial Zone "Sestroretsk", Plot 15</w:t>
      </w:r>
    </w:p>
    <w:p>
      <w:pPr>
        <w:pStyle w:val="BodyText"/>
      </w:pPr>
      <w:r>
        <w:t xml:space="preserve">Saint Petersburg Region, Russia, 197753</w:t>
      </w:r>
    </w:p>
    <w:p>
      <w:pPr>
        <w:pStyle w:val="BodyText"/>
      </w:pPr>
      <w:r>
        <w:t xml:space="preserve">Tax ID (INN): 7829876543</w:t>
      </w:r>
    </w:p>
    <w:bookmarkEnd w:id="22"/>
    <w:bookmarkStart w:id="23" w:name="project-overview"/>
    <w:p>
      <w:pPr>
        <w:pStyle w:val="Heading3"/>
      </w:pPr>
      <w:r>
        <w:t xml:space="preserve">Project Overview</w:t>
      </w:r>
    </w:p>
    <w:p>
      <w:pPr>
        <w:pStyle w:val="FirstParagraph"/>
      </w:pPr>
      <w:r>
        <w:t xml:space="preserve">This Invoice represents the final settlement for comprehensive electrical engineering consultancy and implementation services provided by NeuroVolt Engineering Solutions. The scope of work was executed strictly within the industrial jurisdiction of Russia Saint Petersburg, adhering to local GOST standards and international IEC regulations. The project focused on the modernization of the high-voltage distribution network and the integration of an automated PLC control system for the client's primary assembly line.</w:t>
      </w:r>
    </w:p>
    <w:bookmarkEnd w:id="23"/>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Services</w:t>
            </w:r>
          </w:p>
        </w:tc>
        <w:tc>
          <w:tcPr/>
          <w:p>
            <w:pPr>
              <w:pStyle w:val="Compact"/>
              <w:jc w:val="left"/>
            </w:pPr>
            <w:r>
              <w:t xml:space="preserve">Hours / Qty</w:t>
            </w:r>
          </w:p>
        </w:tc>
        <w:tc>
          <w:tcPr/>
          <w:p>
            <w:pPr>
              <w:pStyle w:val="Compact"/>
              <w:jc w:val="left"/>
            </w:pPr>
            <w:r>
              <w:t xml:space="preserve">Rate (RUB)</w:t>
            </w:r>
          </w:p>
        </w:tc>
        <w:tc>
          <w:tcPr/>
          <w:p>
            <w:pPr>
              <w:pStyle w:val="Compact"/>
              <w:jc w:val="left"/>
            </w:pPr>
            <w:r>
              <w:t xml:space="preserve">Total (RUB)</w:t>
            </w:r>
          </w:p>
        </w:tc>
      </w:tr>
      <w:tr>
        <w:tc>
          <w:tcPr/>
          <w:p>
            <w:pPr>
              <w:pStyle w:val="Compact"/>
              <w:jc w:val="left"/>
            </w:pPr>
            <w:r>
              <w:t xml:space="preserve">1</w:t>
            </w:r>
          </w:p>
        </w:tc>
        <w:tc>
          <w:tcPr/>
          <w:p>
            <w:pPr>
              <w:pStyle w:val="Compact"/>
              <w:jc w:val="left"/>
            </w:pPr>
            <w:r>
              <w:rPr>
                <w:bCs/>
                <w:b/>
              </w:rPr>
              <w:t xml:space="preserve">Site Survey and Load Analysis</w:t>
            </w:r>
            <w:r>
              <w:br/>
            </w:r>
            <w:r>
              <w:t xml:space="preserve">Comprehensive audit of existing electrical infrastructure at the Sestroretsk facility. Included calculation of peak load requirements and harmonic distortion analysis to ensure grid stability.</w:t>
            </w:r>
          </w:p>
        </w:tc>
        <w:tc>
          <w:tcPr/>
          <w:p>
            <w:pPr>
              <w:pStyle w:val="Compact"/>
              <w:jc w:val="left"/>
            </w:pPr>
            <w:r>
              <w:t xml:space="preserve">40 hrs</w:t>
            </w:r>
          </w:p>
        </w:tc>
        <w:tc>
          <w:tcPr/>
          <w:p>
            <w:pPr>
              <w:pStyle w:val="Compact"/>
              <w:jc w:val="left"/>
            </w:pPr>
            <w:r>
              <w:t xml:space="preserve">4,500</w:t>
            </w:r>
          </w:p>
        </w:tc>
        <w:tc>
          <w:tcPr/>
          <w:p>
            <w:pPr>
              <w:pStyle w:val="Compact"/>
              <w:jc w:val="left"/>
            </w:pPr>
            <w:r>
              <w:t xml:space="preserve">180,000.00</w:t>
            </w:r>
          </w:p>
        </w:tc>
      </w:tr>
      <w:tr>
        <w:tc>
          <w:tcPr/>
          <w:p>
            <w:pPr>
              <w:pStyle w:val="Compact"/>
              <w:jc w:val="left"/>
            </w:pPr>
            <w:r>
              <w:t xml:space="preserve">2</w:t>
            </w:r>
          </w:p>
        </w:tc>
        <w:tc>
          <w:tcPr/>
          <w:p>
            <w:pPr>
              <w:pStyle w:val="Compact"/>
              <w:jc w:val="left"/>
            </w:pPr>
            <w:r>
              <w:rPr>
                <w:bCs/>
                <w:b/>
              </w:rPr>
              <w:t xml:space="preserve">Schematic Design and CAD Drafting</w:t>
            </w:r>
            <w:r>
              <w:br/>
            </w:r>
            <w:r>
              <w:t xml:space="preserve">Development of single-line diagrams, control schematics, and wiring layouts using AutoCAD Electrical. Designs optimized for compliance with Russian electrical safety codes (PUE).</w:t>
            </w:r>
          </w:p>
        </w:tc>
        <w:tc>
          <w:tcPr/>
          <w:p>
            <w:pPr>
              <w:pStyle w:val="Compact"/>
              <w:jc w:val="left"/>
            </w:pPr>
            <w:r>
              <w:t xml:space="preserve">80 hrs</w:t>
            </w:r>
          </w:p>
        </w:tc>
        <w:tc>
          <w:tcPr/>
          <w:p>
            <w:pPr>
              <w:pStyle w:val="Compact"/>
              <w:jc w:val="left"/>
            </w:pPr>
            <w:r>
              <w:t xml:space="preserve">5,000</w:t>
            </w:r>
          </w:p>
        </w:tc>
        <w:tc>
          <w:tcPr/>
          <w:p>
            <w:pPr>
              <w:pStyle w:val="Compact"/>
              <w:jc w:val="left"/>
            </w:pPr>
            <w:r>
              <w:t xml:space="preserve">400,000.00</w:t>
            </w:r>
          </w:p>
        </w:tc>
      </w:tr>
      <w:tr>
        <w:tc>
          <w:tcPr/>
          <w:p>
            <w:pPr>
              <w:pStyle w:val="Compact"/>
              <w:jc w:val="left"/>
            </w:pPr>
            <w:r>
              <w:t xml:space="preserve">3</w:t>
            </w:r>
          </w:p>
        </w:tc>
        <w:tc>
          <w:tcPr/>
          <w:p>
            <w:pPr>
              <w:pStyle w:val="Compact"/>
              <w:jc w:val="left"/>
            </w:pPr>
            <w:r>
              <w:rPr>
                <w:bCs/>
                <w:b/>
              </w:rPr>
              <w:t xml:space="preserve">PLC Programming and HMI Integration</w:t>
            </w:r>
            <w:r>
              <w:br/>
            </w:r>
            <w:r>
              <w:t xml:space="preserve">Custom programming of Siemens S7-1500 controllers for automated line sequencing. Configuration of Human-Machine Interface (HMI) panels for operator monitoring and fault diagnostics.</w:t>
            </w:r>
          </w:p>
        </w:tc>
        <w:tc>
          <w:tcPr/>
          <w:p>
            <w:pPr>
              <w:pStyle w:val="Compact"/>
              <w:jc w:val="left"/>
            </w:pPr>
            <w:r>
              <w:t xml:space="preserve">120 hrs</w:t>
            </w:r>
          </w:p>
        </w:tc>
        <w:tc>
          <w:tcPr/>
          <w:p>
            <w:pPr>
              <w:pStyle w:val="Compact"/>
              <w:jc w:val="left"/>
            </w:pPr>
            <w:r>
              <w:t xml:space="preserve">6,000</w:t>
            </w:r>
          </w:p>
        </w:tc>
        <w:tc>
          <w:tcPr/>
          <w:p>
            <w:pPr>
              <w:pStyle w:val="Compact"/>
              <w:jc w:val="left"/>
            </w:pPr>
            <w:r>
              <w:t xml:space="preserve">720,000.00</w:t>
            </w:r>
          </w:p>
        </w:tc>
      </w:tr>
      <w:tr>
        <w:tc>
          <w:tcPr/>
          <w:p>
            <w:pPr>
              <w:pStyle w:val="Compact"/>
              <w:jc w:val="left"/>
            </w:pPr>
            <w:r>
              <w:t xml:space="preserve">4</w:t>
            </w:r>
          </w:p>
        </w:tc>
        <w:tc>
          <w:tcPr/>
          <w:p>
            <w:pPr>
              <w:pStyle w:val="Compact"/>
              <w:jc w:val="left"/>
            </w:pPr>
            <w:r>
              <w:rPr>
                <w:bCs/>
                <w:b/>
              </w:rPr>
              <w:t xml:space="preserve">On-Site Supervision and Commissioning</w:t>
            </w:r>
            <w:r>
              <w:br/>
            </w:r>
            <w:r>
              <w:t xml:space="preserve">Direct supervision of electrical installation teams in Saint Petersburg. Execution of insulation resistance tests, continuity checks, and live commissioning of the new distribution board.</w:t>
            </w:r>
          </w:p>
        </w:tc>
        <w:tc>
          <w:tcPr/>
          <w:p>
            <w:pPr>
              <w:pStyle w:val="Compact"/>
              <w:jc w:val="left"/>
            </w:pPr>
            <w:r>
              <w:t xml:space="preserve">60 hrs</w:t>
            </w:r>
          </w:p>
        </w:tc>
        <w:tc>
          <w:tcPr/>
          <w:p>
            <w:pPr>
              <w:pStyle w:val="Compact"/>
              <w:jc w:val="left"/>
            </w:pPr>
            <w:r>
              <w:t xml:space="preserve">5,500</w:t>
            </w:r>
          </w:p>
        </w:tc>
        <w:tc>
          <w:tcPr/>
          <w:p>
            <w:pPr>
              <w:pStyle w:val="Compact"/>
              <w:jc w:val="left"/>
            </w:pPr>
            <w:r>
              <w:t xml:space="preserve">330,000.00</w:t>
            </w:r>
          </w:p>
        </w:tc>
      </w:tr>
      <w:tr>
        <w:tc>
          <w:tcPr/>
          <w:p>
            <w:pPr>
              <w:pStyle w:val="Compact"/>
              <w:jc w:val="left"/>
            </w:pPr>
            <w:r>
              <w:t xml:space="preserve">5</w:t>
            </w:r>
          </w:p>
        </w:tc>
        <w:tc>
          <w:tcPr/>
          <w:p>
            <w:pPr>
              <w:pStyle w:val="Compact"/>
              <w:jc w:val="left"/>
            </w:pPr>
            <w:r>
              <w:rPr>
                <w:bCs/>
                <w:b/>
              </w:rPr>
              <w:t xml:space="preserve">Technical Documentation and Handover</w:t>
            </w:r>
            <w:r>
              <w:br/>
            </w:r>
            <w:r>
              <w:t xml:space="preserve">Preparation of the "As-Built" documentation package, operation manuals, and safety training materials for the facility staff.</w:t>
            </w:r>
          </w:p>
        </w:tc>
        <w:tc>
          <w:tcPr/>
          <w:p>
            <w:pPr>
              <w:pStyle w:val="Compact"/>
              <w:jc w:val="left"/>
            </w:pPr>
            <w:r>
              <w:t xml:space="preserve">20 hrs</w:t>
            </w:r>
          </w:p>
        </w:tc>
        <w:tc>
          <w:tcPr/>
          <w:p>
            <w:pPr>
              <w:pStyle w:val="Compact"/>
              <w:jc w:val="left"/>
            </w:pPr>
            <w:r>
              <w:t xml:space="preserve">4,500</w:t>
            </w:r>
          </w:p>
        </w:tc>
        <w:tc>
          <w:tcPr/>
          <w:p>
            <w:pPr>
              <w:pStyle w:val="Compact"/>
              <w:jc w:val="left"/>
            </w:pPr>
            <w:r>
              <w:t xml:space="preserve">90,000.00</w:t>
            </w:r>
          </w:p>
        </w:tc>
      </w:tr>
    </w:tbl>
    <w:p>
      <w:pPr>
        <w:pStyle w:val="BodyText"/>
      </w:pPr>
      <w:r>
        <w:t xml:space="preserve">Subtotal:</w:t>
      </w:r>
      <w:r>
        <w:t xml:space="preserve"> </w:t>
      </w:r>
      <w:r>
        <w:t xml:space="preserve">1,720,000.00 RUB</w:t>
      </w:r>
    </w:p>
    <w:p>
      <w:pPr>
        <w:pStyle w:val="BodyText"/>
      </w:pPr>
      <w:r>
        <w:t xml:space="preserve">VAT (20%):</w:t>
      </w:r>
      <w:r>
        <w:t xml:space="preserve"> </w:t>
      </w:r>
      <w:r>
        <w:t xml:space="preserve">344,000.00 RUB</w:t>
      </w:r>
    </w:p>
    <w:p>
      <w:pPr>
        <w:pStyle w:val="BodyText"/>
      </w:pPr>
      <w:r>
        <w:t xml:space="preserve">Total Due:</w:t>
      </w:r>
      <w:r>
        <w:t xml:space="preserve"> </w:t>
      </w:r>
      <w:r>
        <w:t xml:space="preserve">2,064,000.00 RUB</w:t>
      </w:r>
    </w:p>
    <w:bookmarkStart w:id="24" w:name="payment-terms-and-banking-details"/>
    <w:p>
      <w:pPr>
        <w:pStyle w:val="Heading4"/>
      </w:pPr>
      <w:r>
        <w:t xml:space="preserve">Payment Terms and Banking Details</w:t>
      </w:r>
    </w:p>
    <w:p>
      <w:pPr>
        <w:pStyle w:val="FirstParagraph"/>
      </w:pPr>
      <w:r>
        <w:t xml:space="preserve">Payment is due within 14 days of the invoice date. Please reference Invoice Number</w:t>
      </w:r>
      <w:r>
        <w:t xml:space="preserve"> </w:t>
      </w:r>
      <w:r>
        <w:rPr>
          <w:bCs/>
          <w:b/>
        </w:rPr>
        <w:t xml:space="preserve">INV-RU-2023-089</w:t>
      </w:r>
      <w:r>
        <w:t xml:space="preserve"> </w:t>
      </w:r>
      <w:r>
        <w:t xml:space="preserve">in the payment description. Late payments may incur a penalty interest of 0.1% per day as per the Civil Code of the Russian Federation.</w:t>
      </w:r>
    </w:p>
    <w:p>
      <w:pPr>
        <w:pStyle w:val="BodyText"/>
      </w:pPr>
      <w:r>
        <w:rPr>
          <w:bCs/>
          <w:b/>
        </w:rPr>
        <w:t xml:space="preserve">Bank Name:</w:t>
      </w:r>
      <w:r>
        <w:t xml:space="preserve"> </w:t>
      </w:r>
      <w:r>
        <w:t xml:space="preserve">JSC Sberbank</w:t>
      </w:r>
      <w:r>
        <w:br/>
      </w:r>
      <w:r>
        <w:rPr>
          <w:bCs/>
          <w:b/>
        </w:rPr>
        <w:t xml:space="preserve">Account Name:</w:t>
      </w:r>
      <w:r>
        <w:t xml:space="preserve"> </w:t>
      </w:r>
      <w:r>
        <w:t xml:space="preserve">NeuroVolt Engineering Solutions LLC</w:t>
      </w:r>
      <w:r>
        <w:br/>
      </w:r>
      <w:r>
        <w:rPr>
          <w:bCs/>
          <w:b/>
        </w:rPr>
        <w:t xml:space="preserve">Account Number:</w:t>
      </w:r>
      <w:r>
        <w:t xml:space="preserve"> </w:t>
      </w:r>
      <w:r>
        <w:t xml:space="preserve">40702810500000012345</w:t>
      </w:r>
      <w:r>
        <w:br/>
      </w:r>
      <w:r>
        <w:rPr>
          <w:bCs/>
          <w:b/>
        </w:rPr>
        <w:t xml:space="preserve">BIC:</w:t>
      </w:r>
      <w:r>
        <w:t xml:space="preserve"> </w:t>
      </w:r>
      <w:r>
        <w:t xml:space="preserve">044525225</w:t>
      </w:r>
      <w:r>
        <w:br/>
      </w:r>
      <w:r>
        <w:rPr>
          <w:bCs/>
          <w:b/>
        </w:rPr>
        <w:t xml:space="preserve">Correspondent Account:</w:t>
      </w:r>
      <w:r>
        <w:t xml:space="preserve"> </w:t>
      </w:r>
      <w:r>
        <w:t xml:space="preserve">30101810400000000225</w:t>
      </w:r>
    </w:p>
    <w:bookmarkEnd w:id="24"/>
    <w:bookmarkStart w:id="25" w:name="terms-and-conditions"/>
    <w:p>
      <w:pPr>
        <w:pStyle w:val="Heading4"/>
      </w:pPr>
      <w:r>
        <w:t xml:space="preserve">Terms and Conditions</w:t>
      </w:r>
    </w:p>
    <w:p>
      <w:pPr>
        <w:pStyle w:val="FirstParagraph"/>
      </w:pPr>
      <w:r>
        <w:t xml:space="preserve">1. This Invoice is issued in accordance with the Federal Law "On Accounting" and the Tax Code of the Russian Federation.</w:t>
      </w:r>
      <w:r>
        <w:br/>
      </w:r>
      <w:r>
        <w:t xml:space="preserve">2. All services provided by our Electrical Engineer team are guaranteed for a period of 12 months from the date of commissioning.</w:t>
      </w:r>
      <w:r>
        <w:br/>
      </w:r>
      <w:r>
        <w:t xml:space="preserve">3. Intellectual property rights regarding the custom PLC code and schematic designs remain with NeuroVolt Engineering Solutions until full payment is received.</w:t>
      </w:r>
      <w:r>
        <w:br/>
      </w:r>
      <w:r>
        <w:t xml:space="preserve">4. Any disputes arising from this contract shall be settled in the Arbitration Court of Saint Petersburg.</w:t>
      </w:r>
    </w:p>
    <w:bookmarkEnd w:id="25"/>
    <w:p>
      <w:pPr>
        <w:pStyle w:val="BodyText"/>
      </w:pPr>
      <w:r>
        <w:rPr>
          <w:bCs/>
          <w:b/>
        </w:rPr>
        <w:t xml:space="preserve">Authorized by:</w:t>
      </w:r>
    </w:p>
    <w:p>
      <w:pPr>
        <w:pStyle w:val="BodyText"/>
      </w:pPr>
      <w:r>
        <w:t xml:space="preserve">Dr. Elena Sokolova</w:t>
      </w:r>
    </w:p>
    <w:p>
      <w:pPr>
        <w:pStyle w:val="BodyText"/>
      </w:pPr>
      <w:r>
        <w:t xml:space="preserve">Lead Electrical Engineer</w:t>
      </w:r>
    </w:p>
    <w:p>
      <w:pPr>
        <w:pStyle w:val="BodyText"/>
      </w:pPr>
      <w:r>
        <w:t xml:space="preserve">NeuroVolt Engineering Solutions</w:t>
      </w:r>
    </w:p>
    <w:p>
      <w:pPr>
        <w:pStyle w:val="BodyText"/>
      </w:pPr>
      <w:r>
        <w:rPr>
          <w:bCs/>
          <w:b/>
        </w:rPr>
        <w:t xml:space="preserve">Received by:</w:t>
      </w:r>
    </w:p>
    <w:p>
      <w:pPr>
        <w:pStyle w:val="BodyText"/>
      </w:pPr>
      <w:r>
        <w:t xml:space="preserve">__________________________</w:t>
      </w:r>
    </w:p>
    <w:p>
      <w:pPr>
        <w:pStyle w:val="BodyText"/>
      </w:pPr>
      <w:r>
        <w:t xml:space="preserve">Date: ____________________</w:t>
      </w:r>
    </w:p>
    <w:p>
      <w:pPr>
        <w:pStyle w:val="BodyText"/>
      </w:pPr>
      <w:r>
        <w:t xml:space="preserve">PetroTech Manufacturing Plant LLC</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Electrical Engineering Services</dc:title>
  <dc:creator/>
  <dc:language>en</dc:language>
  <cp:keywords/>
  <dcterms:created xsi:type="dcterms:W3CDTF">2026-10-10T01:22:53Z</dcterms:created>
  <dcterms:modified xsi:type="dcterms:W3CDTF">2026-10-10T01:22:53Z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