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Canada</w:t>
      </w:r>
      <w:r>
        <w:t xml:space="preserve"> </w:t>
      </w:r>
      <w:r>
        <w:t xml:space="preserve">Montreal</w:t>
      </w:r>
    </w:p>
    <w:bookmarkStart w:id="20" w:name="montreal-volt-electrician-services-inc."/>
    <w:p>
      <w:pPr>
        <w:pStyle w:val="Heading1"/>
      </w:pPr>
      <w:r>
        <w:t xml:space="preserve">Montreal Volt Electrician Services Inc.</w:t>
      </w:r>
    </w:p>
    <w:p>
      <w:pPr>
        <w:pStyle w:val="FirstParagraph"/>
      </w:pPr>
      <w:r>
        <w:t xml:space="preserve">1247 Rue Sainte-Catherine Ouest, Suite 340</w:t>
      </w:r>
    </w:p>
    <w:p>
      <w:pPr>
        <w:pStyle w:val="BodyText"/>
      </w:pPr>
      <w:r>
        <w:t xml:space="preserve">Montreal, Quebec, Canada H3B 4W8</w:t>
      </w:r>
    </w:p>
    <w:p>
      <w:pPr>
        <w:pStyle w:val="BodyText"/>
      </w:pPr>
      <w:r>
        <w:t xml:space="preserve">Phone: (514) 555-0187 | Email: billing@montrealvolt.ca</w:t>
      </w:r>
    </w:p>
    <w:p>
      <w:pPr>
        <w:pStyle w:val="BodyText"/>
      </w:pPr>
      <w:r>
        <w:t xml:space="preserve">QRC License No. 2024-EL-88432 | GST No. 123456789RT0001</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MV-2025-04782</w:t>
      </w:r>
    </w:p>
    <w:p>
      <w:pPr>
        <w:pStyle w:val="BodyText"/>
      </w:pPr>
      <w:r>
        <w:rPr>
          <w:bCs/>
          <w:b/>
        </w:rPr>
        <w:t xml:space="preserve">Issue Date:</w:t>
      </w:r>
      <w:r>
        <w:t xml:space="preserve"> </w:t>
      </w:r>
      <w:r>
        <w:t xml:space="preserve">June 12, 2025</w:t>
      </w:r>
    </w:p>
    <w:p>
      <w:pPr>
        <w:pStyle w:val="BodyText"/>
      </w:pPr>
      <w:r>
        <w:rPr>
          <w:bCs/>
          <w:b/>
        </w:rPr>
        <w:t xml:space="preserve">Due Date:</w:t>
      </w:r>
      <w:r>
        <w:t xml:space="preserve"> </w:t>
      </w:r>
      <w:r>
        <w:t xml:space="preserve">July 12, 2025</w:t>
      </w:r>
    </w:p>
    <w:p>
      <w:pPr>
        <w:pStyle w:val="BodyText"/>
      </w:pPr>
      <w:r>
        <w:rPr>
          <w:bCs/>
          <w:b/>
        </w:rPr>
        <w:t xml:space="preserve">Status:</w:t>
      </w:r>
      <w:r>
        <w:t xml:space="preserve"> </w:t>
      </w:r>
      <w:r>
        <w:t xml:space="preserve">PENDING</w:t>
      </w:r>
    </w:p>
    <w:bookmarkEnd w:id="21"/>
    <w:bookmarkStart w:id="22" w:name="billed-to"/>
    <w:p>
      <w:pPr>
        <w:pStyle w:val="Heading3"/>
      </w:pPr>
      <w:r>
        <w:t xml:space="preserve">Billed To</w:t>
      </w:r>
    </w:p>
    <w:p>
      <w:pPr>
        <w:pStyle w:val="FirstParagraph"/>
      </w:pPr>
      <w:r>
        <w:rPr>
          <w:bCs/>
          <w:b/>
        </w:rPr>
        <w:t xml:space="preserve">Condominium Les Érables</w:t>
      </w:r>
    </w:p>
    <w:p>
      <w:pPr>
        <w:pStyle w:val="BodyText"/>
      </w:pPr>
      <w:r>
        <w:t xml:space="preserve">4520 Avenue du Parc</w:t>
      </w:r>
    </w:p>
    <w:p>
      <w:pPr>
        <w:pStyle w:val="BodyText"/>
      </w:pPr>
      <w:r>
        <w:t xml:space="preserve">Montreal, Quebec, Canada H2V 4B3</w:t>
      </w:r>
    </w:p>
    <w:p>
      <w:pPr>
        <w:pStyle w:val="BodyText"/>
      </w:pPr>
      <w:r>
        <w:t xml:space="preserve">Attn: Mr. Jean-François Tremblay, Building Manager</w:t>
      </w:r>
    </w:p>
    <w:p>
      <w:pPr>
        <w:pStyle w:val="BodyText"/>
      </w:pPr>
      <w:r>
        <w:t xml:space="preserve">Email: jf.tremblay@leserables.ca</w:t>
      </w:r>
    </w:p>
    <w:p>
      <w:pPr>
        <w:pStyle w:val="BodyText"/>
      </w:pPr>
      <w:r>
        <w:t xml:space="preserve">Phone: (514) 555-0342</w:t>
      </w:r>
    </w:p>
    <w:bookmarkEnd w:id="22"/>
    <w:bookmarkStart w:id="23" w:name="project-details"/>
    <w:p>
      <w:pPr>
        <w:pStyle w:val="Heading3"/>
      </w:pPr>
      <w:r>
        <w:t xml:space="preserve">Project Details</w:t>
      </w:r>
    </w:p>
    <w:p>
      <w:pPr>
        <w:pStyle w:val="FirstParagraph"/>
      </w:pPr>
      <w:r>
        <w:rPr>
          <w:bCs/>
          <w:b/>
        </w:rPr>
        <w:t xml:space="preserve">Project:</w:t>
      </w:r>
      <w:r>
        <w:t xml:space="preserve"> </w:t>
      </w:r>
      <w:r>
        <w:t xml:space="preserve">Full Electrical System Upgrade</w:t>
      </w:r>
    </w:p>
    <w:p>
      <w:pPr>
        <w:pStyle w:val="BodyText"/>
      </w:pPr>
      <w:r>
        <w:rPr>
          <w:bCs/>
          <w:b/>
        </w:rPr>
        <w:t xml:space="preserve">Location:</w:t>
      </w:r>
      <w:r>
        <w:t xml:space="preserve"> </w:t>
      </w:r>
      <w:r>
        <w:t xml:space="preserve">Montreal, Canada</w:t>
      </w:r>
    </w:p>
    <w:p>
      <w:pPr>
        <w:pStyle w:val="BodyText"/>
      </w:pPr>
      <w:r>
        <w:rPr>
          <w:bCs/>
          <w:b/>
        </w:rPr>
        <w:t xml:space="preserve">Work Period:</w:t>
      </w:r>
      <w:r>
        <w:t xml:space="preserve"> </w:t>
      </w:r>
      <w:r>
        <w:t xml:space="preserve">May 28 – June 10, 2025</w:t>
      </w:r>
    </w:p>
    <w:p>
      <w:pPr>
        <w:pStyle w:val="BodyText"/>
      </w:pPr>
      <w:r>
        <w:rPr>
          <w:bCs/>
          <w:b/>
        </w:rPr>
        <w:t xml:space="preserve">Lead Electrician:</w:t>
      </w:r>
      <w:r>
        <w:t xml:space="preserve"> </w:t>
      </w:r>
      <w:r>
        <w:t xml:space="preserve">Marc-André Gagnon, M.E.</w:t>
      </w:r>
    </w:p>
    <w:p>
      <w:pPr>
        <w:pStyle w:val="BodyText"/>
      </w:pPr>
      <w:r>
        <w:rPr>
          <w:bCs/>
          <w:b/>
        </w:rPr>
        <w:t xml:space="preserve">Permit No.:</w:t>
      </w:r>
      <w:r>
        <w:t xml:space="preserve"> </w:t>
      </w:r>
      <w:r>
        <w:t xml:space="preserve">MTR-2025-EL-11907</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Electrician Services</w:t>
            </w:r>
          </w:p>
        </w:tc>
        <w:tc>
          <w:tcPr/>
          <w:p>
            <w:pPr>
              <w:pStyle w:val="Compact"/>
              <w:jc w:val="left"/>
            </w:pPr>
            <w:r>
              <w:t xml:space="preserve">Date</w:t>
            </w:r>
          </w:p>
        </w:tc>
        <w:tc>
          <w:tcPr/>
          <w:p>
            <w:pPr>
              <w:pStyle w:val="Compact"/>
              <w:jc w:val="left"/>
            </w:pPr>
            <w:r>
              <w:t xml:space="preserve">Hours</w:t>
            </w:r>
          </w:p>
        </w:tc>
        <w:tc>
          <w:tcPr/>
          <w:p>
            <w:pPr>
              <w:pStyle w:val="Compact"/>
              <w:jc w:val="left"/>
            </w:pPr>
            <w:r>
              <w:t xml:space="preserve">Rate (CAD)</w:t>
            </w:r>
          </w:p>
        </w:tc>
        <w:tc>
          <w:tcPr/>
          <w:p>
            <w:pPr>
              <w:pStyle w:val="Compact"/>
              <w:jc w:val="left"/>
            </w:pPr>
            <w:r>
              <w:t xml:space="preserve">Amount (CAD)</w:t>
            </w:r>
          </w:p>
        </w:tc>
      </w:tr>
      <w:tr>
        <w:tc>
          <w:tcPr/>
          <w:p>
            <w:pPr>
              <w:pStyle w:val="Compact"/>
              <w:jc w:val="left"/>
            </w:pPr>
            <w:r>
              <w:t xml:space="preserve">1</w:t>
            </w:r>
          </w:p>
        </w:tc>
        <w:tc>
          <w:tcPr/>
          <w:p>
            <w:pPr>
              <w:pStyle w:val="Compact"/>
              <w:jc w:val="left"/>
            </w:pPr>
            <w:r>
              <w:t xml:space="preserve">Complete inspection and diagnostic assessment of the existing electrical panel, wiring, and grounding system across all 12 floors of the Montreal residential building. Includes thermal imaging and load calculation per the Canadian Electrical Code (CEC) 2024, Section 4.</w:t>
            </w:r>
          </w:p>
        </w:tc>
        <w:tc>
          <w:tcPr/>
          <w:p>
            <w:pPr>
              <w:pStyle w:val="Compact"/>
              <w:jc w:val="left"/>
            </w:pPr>
            <w:r>
              <w:t xml:space="preserve">May 28, 2025</w:t>
            </w:r>
          </w:p>
        </w:tc>
        <w:tc>
          <w:tcPr/>
          <w:p>
            <w:pPr>
              <w:pStyle w:val="Compact"/>
              <w:jc w:val="left"/>
            </w:pPr>
            <w:r>
              <w:t xml:space="preserve">8.0</w:t>
            </w:r>
          </w:p>
        </w:tc>
        <w:tc>
          <w:tcPr/>
          <w:p>
            <w:pPr>
              <w:pStyle w:val="Compact"/>
              <w:jc w:val="left"/>
            </w:pPr>
            <w:r>
              <w:t xml:space="preserve">$95.00</w:t>
            </w:r>
          </w:p>
        </w:tc>
        <w:tc>
          <w:tcPr/>
          <w:p>
            <w:pPr>
              <w:pStyle w:val="Compact"/>
              <w:jc w:val="left"/>
            </w:pPr>
            <w:r>
              <w:t xml:space="preserve">$760.00</w:t>
            </w:r>
          </w:p>
        </w:tc>
      </w:tr>
      <w:tr>
        <w:tc>
          <w:tcPr/>
          <w:p>
            <w:pPr>
              <w:pStyle w:val="Compact"/>
              <w:jc w:val="left"/>
            </w:pPr>
            <w:r>
              <w:t xml:space="preserve">2</w:t>
            </w:r>
          </w:p>
        </w:tc>
        <w:tc>
          <w:tcPr/>
          <w:p>
            <w:pPr>
              <w:pStyle w:val="Compact"/>
              <w:jc w:val="left"/>
            </w:pPr>
            <w:r>
              <w:t xml:space="preserve">Removal and disposal of the outdated 200-amp main electrical panel. Installation of a new 400-amp main service panel with 42 circuits, including all necessary breakers, bus bars, and grounding conductors. All work performed by a licensed electrician in compliance with Quebec's electrical safety regulations.</w:t>
            </w:r>
          </w:p>
        </w:tc>
        <w:tc>
          <w:tcPr/>
          <w:p>
            <w:pPr>
              <w:pStyle w:val="Compact"/>
              <w:jc w:val="left"/>
            </w:pPr>
            <w:r>
              <w:t xml:space="preserve">May 29 – Jun 2, 2025</w:t>
            </w:r>
          </w:p>
        </w:tc>
        <w:tc>
          <w:tcPr/>
          <w:p>
            <w:pPr>
              <w:pStyle w:val="Compact"/>
              <w:jc w:val="left"/>
            </w:pPr>
            <w:r>
              <w:t xml:space="preserve">48.0</w:t>
            </w:r>
          </w:p>
        </w:tc>
        <w:tc>
          <w:tcPr/>
          <w:p>
            <w:pPr>
              <w:pStyle w:val="Compact"/>
              <w:jc w:val="left"/>
            </w:pPr>
            <w:r>
              <w:t xml:space="preserve">$110.00</w:t>
            </w:r>
          </w:p>
        </w:tc>
        <w:tc>
          <w:tcPr/>
          <w:p>
            <w:pPr>
              <w:pStyle w:val="Compact"/>
              <w:jc w:val="left"/>
            </w:pPr>
            <w:r>
              <w:t xml:space="preserve">$5,280.00</w:t>
            </w:r>
          </w:p>
        </w:tc>
      </w:tr>
      <w:tr>
        <w:tc>
          <w:tcPr/>
          <w:p>
            <w:pPr>
              <w:pStyle w:val="Compact"/>
              <w:jc w:val="left"/>
            </w:pPr>
            <w:r>
              <w:t xml:space="preserve">3</w:t>
            </w:r>
          </w:p>
        </w:tc>
        <w:tc>
          <w:tcPr/>
          <w:p>
            <w:pPr>
              <w:pStyle w:val="Compact"/>
              <w:jc w:val="left"/>
            </w:pPr>
            <w:r>
              <w:t xml:space="preserve">Replacement of 185 metres of deteriorated aluminium branch wiring with new copper THHN/THWN-2 conductors (12 AWG and 14 AWG) throughout floors 3 through 12. Includes conduit routing, junction box replacements, and secure termination at all outlets and switches.</w:t>
            </w:r>
          </w:p>
        </w:tc>
        <w:tc>
          <w:tcPr/>
          <w:p>
            <w:pPr>
              <w:pStyle w:val="Compact"/>
              <w:jc w:val="left"/>
            </w:pPr>
            <w:r>
              <w:t xml:space="preserve">Jun 3 – Jun 6, 2025</w:t>
            </w:r>
          </w:p>
        </w:tc>
        <w:tc>
          <w:tcPr/>
          <w:p>
            <w:pPr>
              <w:pStyle w:val="Compact"/>
              <w:jc w:val="left"/>
            </w:pPr>
            <w:r>
              <w:t xml:space="preserve">72.0</w:t>
            </w:r>
          </w:p>
        </w:tc>
        <w:tc>
          <w:tcPr/>
          <w:p>
            <w:pPr>
              <w:pStyle w:val="Compact"/>
              <w:jc w:val="left"/>
            </w:pPr>
            <w:r>
              <w:t xml:space="preserve">$105.00</w:t>
            </w:r>
          </w:p>
        </w:tc>
        <w:tc>
          <w:tcPr/>
          <w:p>
            <w:pPr>
              <w:pStyle w:val="Compact"/>
              <w:jc w:val="left"/>
            </w:pPr>
            <w:r>
              <w:t xml:space="preserve">$7,560.00</w:t>
            </w:r>
          </w:p>
        </w:tc>
      </w:tr>
      <w:tr>
        <w:tc>
          <w:tcPr/>
          <w:p>
            <w:pPr>
              <w:pStyle w:val="Compact"/>
              <w:jc w:val="left"/>
            </w:pPr>
            <w:r>
              <w:t xml:space="preserve">4</w:t>
            </w:r>
          </w:p>
        </w:tc>
        <w:tc>
          <w:tcPr/>
          <w:p>
            <w:pPr>
              <w:pStyle w:val="Compact"/>
              <w:jc w:val="left"/>
            </w:pPr>
            <w:r>
              <w:t xml:space="preserve">Installation of 24 new GFCI (Ground Fault Circuit Interrupter) outlets in all kitchens, bathrooms, and exterior areas per Canadian Electrical Code requirements. Includes testing and certification of each GFCI device for proper trip sensitivity.</w:t>
            </w:r>
          </w:p>
        </w:tc>
        <w:tc>
          <w:tcPr/>
          <w:p>
            <w:pPr>
              <w:pStyle w:val="Compact"/>
              <w:jc w:val="left"/>
            </w:pPr>
            <w:r>
              <w:t xml:space="preserve">Jun 7, 2025</w:t>
            </w:r>
          </w:p>
        </w:tc>
        <w:tc>
          <w:tcPr/>
          <w:p>
            <w:pPr>
              <w:pStyle w:val="Compact"/>
              <w:jc w:val="left"/>
            </w:pPr>
            <w:r>
              <w:t xml:space="preserve">16.0</w:t>
            </w:r>
          </w:p>
        </w:tc>
        <w:tc>
          <w:tcPr/>
          <w:p>
            <w:pPr>
              <w:pStyle w:val="Compact"/>
              <w:jc w:val="left"/>
            </w:pPr>
            <w:r>
              <w:t xml:space="preserve">$105.00</w:t>
            </w:r>
          </w:p>
        </w:tc>
        <w:tc>
          <w:tcPr/>
          <w:p>
            <w:pPr>
              <w:pStyle w:val="Compact"/>
              <w:jc w:val="left"/>
            </w:pPr>
            <w:r>
              <w:t xml:space="preserve">$1,680.00</w:t>
            </w:r>
          </w:p>
        </w:tc>
      </w:tr>
      <w:tr>
        <w:tc>
          <w:tcPr/>
          <w:p>
            <w:pPr>
              <w:pStyle w:val="Compact"/>
              <w:jc w:val="left"/>
            </w:pPr>
            <w:r>
              <w:t xml:space="preserve">5</w:t>
            </w:r>
          </w:p>
        </w:tc>
        <w:tc>
          <w:tcPr/>
          <w:p>
            <w:pPr>
              <w:pStyle w:val="Compact"/>
              <w:jc w:val="left"/>
            </w:pPr>
            <w:r>
              <w:t xml:space="preserve">Installation and commissioning of a new 30-amp dedicated circuit for the building's emergency backup generator. Includes transfer switch installation, load balancing, and coordination with the main electrician panel. All connections verified for safe operation during Montreal power outages.</w:t>
            </w:r>
          </w:p>
        </w:tc>
        <w:tc>
          <w:tcPr/>
          <w:p>
            <w:pPr>
              <w:pStyle w:val="Compact"/>
              <w:jc w:val="left"/>
            </w:pPr>
            <w:r>
              <w:t xml:space="preserve">Jun 8, 2025</w:t>
            </w:r>
          </w:p>
        </w:tc>
        <w:tc>
          <w:tcPr/>
          <w:p>
            <w:pPr>
              <w:pStyle w:val="Compact"/>
              <w:jc w:val="left"/>
            </w:pPr>
            <w:r>
              <w:t xml:space="preserve">12.0</w:t>
            </w:r>
          </w:p>
        </w:tc>
        <w:tc>
          <w:tcPr/>
          <w:p>
            <w:pPr>
              <w:pStyle w:val="Compact"/>
              <w:jc w:val="left"/>
            </w:pPr>
            <w:r>
              <w:t xml:space="preserve">$115.00</w:t>
            </w:r>
          </w:p>
        </w:tc>
        <w:tc>
          <w:tcPr/>
          <w:p>
            <w:pPr>
              <w:pStyle w:val="Compact"/>
              <w:jc w:val="left"/>
            </w:pPr>
            <w:r>
              <w:t xml:space="preserve">$1,380.00</w:t>
            </w:r>
          </w:p>
        </w:tc>
      </w:tr>
      <w:tr>
        <w:tc>
          <w:tcPr/>
          <w:p>
            <w:pPr>
              <w:pStyle w:val="Compact"/>
              <w:jc w:val="left"/>
            </w:pPr>
            <w:r>
              <w:t xml:space="preserve">6</w:t>
            </w:r>
          </w:p>
        </w:tc>
        <w:tc>
          <w:tcPr/>
          <w:p>
            <w:pPr>
              <w:pStyle w:val="Compact"/>
              <w:jc w:val="left"/>
            </w:pPr>
            <w:r>
              <w:t xml:space="preserve">Replacement of 38 fluorescent tube lighting fixtures in common areas (hallways, stairwells, parking garage) with energy-efficient LED panel fixtures. Includes ballast removal, new driver installation, and waste disposal in accordance with Quebec environmental regulations.</w:t>
            </w:r>
          </w:p>
        </w:tc>
        <w:tc>
          <w:tcPr/>
          <w:p>
            <w:pPr>
              <w:pStyle w:val="Compact"/>
              <w:jc w:val="left"/>
            </w:pPr>
            <w:r>
              <w:t xml:space="preserve">Jun 9, 2025</w:t>
            </w:r>
          </w:p>
        </w:tc>
        <w:tc>
          <w:tcPr/>
          <w:p>
            <w:pPr>
              <w:pStyle w:val="Compact"/>
              <w:jc w:val="left"/>
            </w:pPr>
            <w:r>
              <w:t xml:space="preserve">20.0</w:t>
            </w:r>
          </w:p>
        </w:tc>
        <w:tc>
          <w:tcPr/>
          <w:p>
            <w:pPr>
              <w:pStyle w:val="Compact"/>
              <w:jc w:val="left"/>
            </w:pPr>
            <w:r>
              <w:t xml:space="preserve">$98.00</w:t>
            </w:r>
          </w:p>
        </w:tc>
        <w:tc>
          <w:tcPr/>
          <w:p>
            <w:pPr>
              <w:pStyle w:val="Compact"/>
              <w:jc w:val="left"/>
            </w:pPr>
            <w:r>
              <w:t xml:space="preserve">$1,960.00</w:t>
            </w:r>
          </w:p>
        </w:tc>
      </w:tr>
      <w:tr>
        <w:tc>
          <w:tcPr/>
          <w:p>
            <w:pPr>
              <w:pStyle w:val="Compact"/>
              <w:jc w:val="left"/>
            </w:pPr>
            <w:r>
              <w:t xml:space="preserve">7</w:t>
            </w:r>
          </w:p>
        </w:tc>
        <w:tc>
          <w:tcPr/>
          <w:p>
            <w:pPr>
              <w:pStyle w:val="Compact"/>
              <w:jc w:val="left"/>
            </w:pPr>
            <w:r>
              <w:t xml:space="preserve">Final inspection, load testing, and certification. The lead electrician performed a comprehensive megger test, continuity check, and polarity verification on all new circuits. Issued a Certificate of Electrical Compliance for the City of Montreal and submitted documentation to the Régie du bâtiment du Québec (RBQ).</w:t>
            </w:r>
          </w:p>
        </w:tc>
        <w:tc>
          <w:tcPr/>
          <w:p>
            <w:pPr>
              <w:pStyle w:val="Compact"/>
              <w:jc w:val="left"/>
            </w:pPr>
            <w:r>
              <w:t xml:space="preserve">Jun 10, 2025</w:t>
            </w:r>
          </w:p>
        </w:tc>
        <w:tc>
          <w:tcPr/>
          <w:p>
            <w:pPr>
              <w:pStyle w:val="Compact"/>
              <w:jc w:val="left"/>
            </w:pPr>
            <w:r>
              <w:t xml:space="preserve">6.0</w:t>
            </w:r>
          </w:p>
        </w:tc>
        <w:tc>
          <w:tcPr/>
          <w:p>
            <w:pPr>
              <w:pStyle w:val="Compact"/>
              <w:jc w:val="left"/>
            </w:pPr>
            <w:r>
              <w:t xml:space="preserve">$120.00</w:t>
            </w:r>
          </w:p>
        </w:tc>
        <w:tc>
          <w:tcPr/>
          <w:p>
            <w:pPr>
              <w:pStyle w:val="Compact"/>
              <w:jc w:val="left"/>
            </w:pPr>
            <w:r>
              <w:t xml:space="preserve">$720.00</w:t>
            </w:r>
          </w:p>
        </w:tc>
      </w:tr>
      <w:tr>
        <w:tc>
          <w:tcPr/>
          <w:p>
            <w:pPr>
              <w:pStyle w:val="Compact"/>
              <w:jc w:val="left"/>
            </w:pPr>
            <w:r>
              <w:t xml:space="preserve">8</w:t>
            </w:r>
          </w:p>
        </w:tc>
        <w:tc>
          <w:tcPr/>
          <w:p>
            <w:pPr>
              <w:pStyle w:val="Compact"/>
              <w:jc w:val="left"/>
            </w:pPr>
            <w:r>
              <w:t xml:space="preserve">Materials and supplies: 400-amp panel, 42 breakers, 185 m copper wire, 24 GFCI outlets, 38 LED fixtures, 30-amp transfer switch, conduit, junction boxes, wire nuts, and all ancillary hardware. All materials sourced from approved Canadian electrical distributors.</w:t>
            </w:r>
          </w:p>
        </w:tc>
        <w:tc>
          <w:tcPr/>
          <w:p>
            <w:pPr>
              <w:pStyle w:val="Compact"/>
              <w:jc w:val="left"/>
            </w:pPr>
            <w:r>
              <w:t xml:space="preserve">May 28 – Jun 10, 2025</w:t>
            </w:r>
          </w:p>
        </w:tc>
        <w:tc>
          <w:tcPr/>
          <w:p>
            <w:pPr>
              <w:pStyle w:val="Compact"/>
              <w:jc w:val="left"/>
            </w:pPr>
            <w:r>
              <w:t xml:space="preserve">—</w:t>
            </w:r>
          </w:p>
        </w:tc>
        <w:tc>
          <w:tcPr/>
          <w:p>
            <w:pPr>
              <w:pStyle w:val="Compact"/>
              <w:jc w:val="left"/>
            </w:pPr>
            <w:r>
              <w:t xml:space="preserve">—</w:t>
            </w:r>
          </w:p>
        </w:tc>
        <w:tc>
          <w:tcPr/>
          <w:p>
            <w:pPr>
              <w:pStyle w:val="Compact"/>
              <w:jc w:val="left"/>
            </w:pPr>
            <w:r>
              <w:t xml:space="preserve">$8,435.00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(CAD)</w:t>
            </w:r>
          </w:p>
        </w:tc>
        <w:tc>
          <w:tcPr/>
          <w:p>
            <w:pPr>
              <w:pStyle w:val="Compact"/>
              <w:jc w:val="left"/>
            </w:pPr>
            <w:r>
              <w:t xml:space="preserve">$27,775.00</w:t>
            </w:r>
          </w:p>
        </w:tc>
      </w:tr>
      <w:tr>
        <w:tc>
          <w:tcPr/>
          <w:p>
            <w:pPr>
              <w:pStyle w:val="Compact"/>
              <w:jc w:val="left"/>
            </w:pPr>
            <w:r>
              <w:t xml:space="preserve">GST (5%)</w:t>
            </w:r>
          </w:p>
        </w:tc>
        <w:tc>
          <w:tcPr/>
          <w:p>
            <w:pPr>
              <w:pStyle w:val="Compact"/>
              <w:jc w:val="left"/>
            </w:pPr>
            <w:r>
              <w:t xml:space="preserve">$1,388.75</w:t>
            </w:r>
          </w:p>
        </w:tc>
      </w:tr>
      <w:tr>
        <w:tc>
          <w:tcPr/>
          <w:p>
            <w:pPr>
              <w:pStyle w:val="Compact"/>
              <w:jc w:val="left"/>
            </w:pPr>
            <w:r>
              <w:t xml:space="preserve">QST – Quebec Sales Tax (9.975%)</w:t>
            </w:r>
          </w:p>
        </w:tc>
        <w:tc>
          <w:tcPr/>
          <w:p>
            <w:pPr>
              <w:pStyle w:val="Compact"/>
              <w:jc w:val="left"/>
            </w:pPr>
            <w:r>
              <w:t xml:space="preserve">$2,770.66</w:t>
            </w:r>
          </w:p>
        </w:tc>
      </w:tr>
      <w:tr>
        <w:tc>
          <w:tcPr/>
          <w:p>
            <w:pPr>
              <w:pStyle w:val="Compact"/>
              <w:jc w:val="left"/>
            </w:pPr>
            <w:r>
              <w:t xml:space="preserve">TOTAL DUE (CAD)</w:t>
            </w:r>
          </w:p>
        </w:tc>
        <w:tc>
          <w:tcPr/>
          <w:p>
            <w:pPr>
              <w:pStyle w:val="Compact"/>
              <w:jc w:val="left"/>
            </w:pPr>
            <w:r>
              <w:t xml:space="preserve">$31,934.41</w:t>
            </w:r>
          </w:p>
        </w:tc>
      </w:tr>
    </w:tbl>
    <w:bookmarkStart w:id="24" w:name="payment-instructions"/>
    <w:p>
      <w:pPr>
        <w:pStyle w:val="Heading3"/>
      </w:pPr>
      <w:r>
        <w:t xml:space="preserve">Payment Instructions</w:t>
      </w:r>
    </w:p>
    <w:p>
      <w:pPr>
        <w:pStyle w:val="FirstParagraph"/>
      </w:pPr>
      <w:r>
        <w:rPr>
          <w:bCs/>
          <w:b/>
        </w:rPr>
        <w:t xml:space="preserve">Method:</w:t>
      </w:r>
      <w:r>
        <w:t xml:space="preserve"> </w:t>
      </w:r>
      <w:r>
        <w:t xml:space="preserve">Interac e-Transfer, Cheque, or Bank Wire Transfer</w:t>
      </w:r>
    </w:p>
    <w:p>
      <w:pPr>
        <w:pStyle w:val="BodyText"/>
      </w:pPr>
      <w:r>
        <w:rPr>
          <w:bCs/>
          <w:b/>
        </w:rPr>
        <w:t xml:space="preserve">Bank:</w:t>
      </w:r>
      <w:r>
        <w:t xml:space="preserve"> </w:t>
      </w:r>
      <w:r>
        <w:t xml:space="preserve">Desjardins Group – Montreal Central Branch</w:t>
      </w:r>
    </w:p>
    <w:p>
      <w:pPr>
        <w:pStyle w:val="BodyText"/>
      </w:pPr>
      <w:r>
        <w:rPr>
          <w:bCs/>
          <w:b/>
        </w:rPr>
        <w:t xml:space="preserve">Account Name:</w:t>
      </w:r>
      <w:r>
        <w:t xml:space="preserve"> </w:t>
      </w:r>
      <w:r>
        <w:t xml:space="preserve">Montreal Volt Electrician Services Inc.</w:t>
      </w:r>
    </w:p>
    <w:p>
      <w:pPr>
        <w:pStyle w:val="BodyText"/>
      </w:pPr>
      <w:r>
        <w:rPr>
          <w:bCs/>
          <w:b/>
        </w:rPr>
        <w:t xml:space="preserve">Account No.:</w:t>
      </w:r>
      <w:r>
        <w:t xml:space="preserve"> </w:t>
      </w:r>
      <w:r>
        <w:t xml:space="preserve">1234-5678-9012 | Transit: 00012 | Institution: 000</w:t>
      </w:r>
    </w:p>
    <w:p>
      <w:pPr>
        <w:pStyle w:val="BodyText"/>
      </w:pPr>
      <w:r>
        <w:rPr>
          <w:bCs/>
          <w:b/>
        </w:rPr>
        <w:t xml:space="preserve">Reference:</w:t>
      </w:r>
      <w:r>
        <w:t xml:space="preserve"> </w:t>
      </w:r>
      <w:r>
        <w:t xml:space="preserve">Please include Invoice No. MV-2025-04782 with all payments.</w:t>
      </w:r>
    </w:p>
    <w:p>
      <w:pPr>
        <w:pStyle w:val="BodyText"/>
      </w:pPr>
      <w:r>
        <w:rPr>
          <w:bCs/>
          <w:b/>
        </w:rPr>
        <w:t xml:space="preserve">Due Date:</w:t>
      </w:r>
      <w:r>
        <w:t xml:space="preserve"> </w:t>
      </w:r>
      <w:r>
        <w:t xml:space="preserve">This invoice is payable within 30 calendar days of the issue date. A late payment surcharge of 1.5% per month will be applied to overdue balances in accordance with the Civil Code of Quebec.</w:t>
      </w:r>
    </w:p>
    <w:bookmarkEnd w:id="24"/>
    <w:bookmarkStart w:id="25" w:name="notes-and-remarks"/>
    <w:p>
      <w:pPr>
        <w:pStyle w:val="Heading3"/>
      </w:pPr>
      <w:r>
        <w:t xml:space="preserve">Notes and Remarks</w:t>
      </w:r>
    </w:p>
    <w:p>
      <w:pPr>
        <w:pStyle w:val="FirstParagraph"/>
      </w:pPr>
      <w:r>
        <w:t xml:space="preserve">This invoice covers all electrician labour and materials for the complete electrical system upgrade at the above-referenced Montreal property. All work was performed in strict compliance with the Canadian Electrical Code (CEC) 2024, the Quebec Electrical Safety Regulations, and the City of Montreal building bylaws. The lead electrician, Marc-André Gagnon, holds a valid Master Electrician (M.E.) licence issued by the Régie du bâtiment du Québec (RBQ), Licence No. 7001-1234-5678.</w:t>
      </w:r>
    </w:p>
    <w:p>
      <w:pPr>
        <w:pStyle w:val="BodyText"/>
      </w:pPr>
      <w:r>
        <w:t xml:space="preserve">A one-year workmanship warranty is included on all labour performed. Manufacturer warranties on all installed equipment (panel, breakers, GFCI outlets, LED fixtures, and transfer switch) are transferable to the building owner and are documented in the attached warranty folder. The electrician team recommends a follow-up inspection in 12 months to verify long-term performance of the new electrical infrastructure.</w:t>
      </w:r>
    </w:p>
    <w:p>
      <w:pPr>
        <w:pStyle w:val="BodyText"/>
      </w:pPr>
      <w:r>
        <w:t xml:space="preserve">All waste materials, including old aluminium wiring, fluorescent ballasts, and the decommissioned 200-amp panel, were disposed of at a licensed recycling facility in the Montreal metropolitan area in compliance with Quebec's waste management regulations.</w:t>
      </w:r>
    </w:p>
    <w:bookmarkEnd w:id="25"/>
    <w:bookmarkStart w:id="26" w:name="terms-and-conditions"/>
    <w:p>
      <w:pPr>
        <w:pStyle w:val="Heading3"/>
      </w:pPr>
      <w:r>
        <w:t xml:space="preserve">Terms and Conditions</w:t>
      </w:r>
    </w:p>
    <w:p>
      <w:pPr>
        <w:pStyle w:val="FirstParagraph"/>
      </w:pPr>
      <w:r>
        <w:t xml:space="preserve">1. This invoice constitutes a binding financial document between Montreal Volt Electrician Services Inc. and the client. All services were rendered in Montreal, Quebec, Canada, and are governed by the laws of the Province of Quebec and the federal laws of Canada applicable therein.</w:t>
      </w:r>
    </w:p>
    <w:p>
      <w:pPr>
        <w:pStyle w:val="BodyText"/>
      </w:pPr>
      <w:r>
        <w:t xml:space="preserve">2. Payment is due within 30 days of the invoice date. In the event of non-payment, the electrician reserves the right to suspend any ongoing or future services and to pursue collection through the Small Claims Court of the Court of Quebec, Montreal Division.</w:t>
      </w:r>
    </w:p>
    <w:p>
      <w:pPr>
        <w:pStyle w:val="BodyText"/>
      </w:pPr>
      <w:r>
        <w:t xml:space="preserve">3. All electrical work described in this invoice was performed by licensed electricians and has been certified as compliant. The client acknowledges receipt of the Certificate of Electrical Compliance and the RBQ inspection report.</w:t>
      </w:r>
    </w:p>
    <w:p>
      <w:pPr>
        <w:pStyle w:val="BodyText"/>
      </w:pPr>
      <w:r>
        <w:t xml:space="preserve">4. Any disputes arising from this invoice shall be resolved through mediation in Montreal, Quebec, before resorting to litigation. The governing language of this document is English, with a French translation available upon request.</w:t>
      </w:r>
    </w:p>
    <w:p>
      <w:pPr>
        <w:pStyle w:val="BodyText"/>
      </w:pPr>
      <w:r>
        <w:t xml:space="preserve">5. Montreal Volt Electrician Services Inc. is a registered business entity in the Province of Quebec, Canada, and is in good standing with the RBQ, the Revenu Québec, and the Canada Revenue Agency (CRA).</w:t>
      </w:r>
    </w:p>
    <w:bookmarkEnd w:id="26"/>
    <w:p>
      <w:pPr>
        <w:pStyle w:val="BodyText"/>
      </w:pPr>
      <w:r>
        <w:t xml:space="preserve">Thank you for choosing Montreal Volt Electrician Services Inc. for your electrical needs in Canada Montreal.</w:t>
      </w:r>
    </w:p>
    <w:p>
      <w:pPr>
        <w:pStyle w:val="BodyText"/>
      </w:pPr>
      <w:r>
        <w:t xml:space="preserve">This is an officially generated invoice. For questions regarding this invoice, please contact our billing department at billing@montrealvolt.ca or (514) 555-0187.</w:t>
      </w:r>
    </w:p>
    <w:p>
      <w:pPr>
        <w:pStyle w:val="BodyText"/>
      </w:pPr>
      <w:r>
        <w:t xml:space="preserve">Montreal Volt Electrician Services Inc. | 1247 Rue Sainte-Catherine Ouest, Montreal, Quebec, Canada H3B 4W8 | RBQ Licence 7001-1234-5678</w:t>
      </w:r>
    </w:p>
    <w:p>
      <w:pPr>
        <w:pStyle w:val="BodyText"/>
      </w:pPr>
      <w:r>
        <w:t xml:space="preserve">Invoice MV-2025-04782 | Generated on June 12,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Electrician Services - Canada Montreal</dc:title>
  <dc:creator/>
  <dc:language>en</dc:language>
  <cp:keywords/>
  <dcterms:created xsi:type="dcterms:W3CDTF">2026-10-10T09:10:18Z</dcterms:created>
  <dcterms:modified xsi:type="dcterms:W3CDTF">2026-10-10T09:10:18Z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