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Electrician</w:t>
      </w:r>
      <w:r>
        <w:t xml:space="preserve"> </w:t>
      </w:r>
      <w:r>
        <w:t xml:space="preserve">Services</w:t>
      </w:r>
      <w:r>
        <w:t xml:space="preserve"> </w:t>
      </w:r>
      <w:r>
        <w:t xml:space="preserve">-</w:t>
      </w:r>
      <w:r>
        <w:t xml:space="preserve"> </w:t>
      </w:r>
      <w:r>
        <w:t xml:space="preserve">Russia</w:t>
      </w:r>
      <w:r>
        <w:t xml:space="preserve"> </w:t>
      </w:r>
      <w:r>
        <w:t xml:space="preserve">Moscow</w:t>
      </w:r>
    </w:p>
    <w:bookmarkStart w:id="20" w:name="volga-electric-services-llc"/>
    <w:p>
      <w:pPr>
        <w:pStyle w:val="Heading1"/>
      </w:pPr>
      <w:r>
        <w:t xml:space="preserve">Volga Electric Services LLC</w:t>
      </w:r>
    </w:p>
    <w:p>
      <w:pPr>
        <w:pStyle w:val="FirstParagraph"/>
      </w:pPr>
      <w:r>
        <w:t xml:space="preserve">12 Tverskaya Street, Building 4, Floor 7</w:t>
      </w:r>
    </w:p>
    <w:p>
      <w:pPr>
        <w:pStyle w:val="BodyText"/>
      </w:pPr>
      <w:r>
        <w:t xml:space="preserve">Moscow, Russia Moscow 125009</w:t>
      </w:r>
    </w:p>
    <w:p>
      <w:pPr>
        <w:pStyle w:val="BodyText"/>
      </w:pPr>
      <w:r>
        <w:t xml:space="preserve">Tax ID (INN): 7701234567</w:t>
      </w:r>
    </w:p>
    <w:p>
      <w:pPr>
        <w:pStyle w:val="BodyText"/>
      </w:pPr>
      <w:r>
        <w:t xml:space="preserve">Registration No. (OGRN): 1157746001234</w:t>
      </w:r>
    </w:p>
    <w:p>
      <w:pPr>
        <w:pStyle w:val="BodyText"/>
      </w:pPr>
      <w:r>
        <w:t xml:space="preserve">Phone: +7 (495) 123-45-67</w:t>
      </w:r>
    </w:p>
    <w:p>
      <w:pPr>
        <w:pStyle w:val="BodyText"/>
      </w:pPr>
      <w:r>
        <w:t xml:space="preserve">Email: billing@volga-electric.ru</w:t>
      </w:r>
    </w:p>
    <w:bookmarkEnd w:id="20"/>
    <w:bookmarkStart w:id="21" w:name="invoice"/>
    <w:p>
      <w:pPr>
        <w:pStyle w:val="Heading2"/>
      </w:pPr>
      <w:r>
        <w:t xml:space="preserve">INVOICE</w:t>
      </w:r>
    </w:p>
    <w:p>
      <w:pPr>
        <w:pStyle w:val="FirstParagraph"/>
      </w:pPr>
      <w:r>
        <w:t xml:space="preserve">Invoice No.: VE-2025-04871</w:t>
      </w:r>
    </w:p>
    <w:p>
      <w:pPr>
        <w:pStyle w:val="BodyText"/>
      </w:pPr>
      <w:r>
        <w:t xml:space="preserve">Date Issued: June 15, 2025</w:t>
      </w:r>
    </w:p>
    <w:p>
      <w:pPr>
        <w:pStyle w:val="BodyText"/>
      </w:pPr>
      <w:r>
        <w:t xml:space="preserve">Due Date: July 15, 2025</w:t>
      </w:r>
    </w:p>
    <w:p>
      <w:pPr>
        <w:pStyle w:val="BodyText"/>
      </w:pPr>
      <w:r>
        <w:t xml:space="preserve">Service Location: Russia Moscow</w:t>
      </w:r>
    </w:p>
    <w:bookmarkEnd w:id="21"/>
    <w:bookmarkStart w:id="22" w:name="billed-to"/>
    <w:p>
      <w:pPr>
        <w:pStyle w:val="Heading3"/>
      </w:pPr>
      <w:r>
        <w:t xml:space="preserve">Billed To</w:t>
      </w:r>
    </w:p>
    <w:p>
      <w:pPr>
        <w:pStyle w:val="FirstParagraph"/>
      </w:pPr>
      <w:r>
        <w:rPr>
          <w:bCs/>
          <w:b/>
        </w:rPr>
        <w:t xml:space="preserve">Client Name:</w:t>
      </w:r>
      <w:r>
        <w:t xml:space="preserve"> </w:t>
      </w:r>
      <w:r>
        <w:t xml:space="preserve">Alexander Dmitrievich Volkov</w:t>
      </w:r>
    </w:p>
    <w:p>
      <w:pPr>
        <w:pStyle w:val="BodyText"/>
      </w:pPr>
      <w:r>
        <w:rPr>
          <w:bCs/>
          <w:b/>
        </w:rPr>
        <w:t xml:space="preserve">Organization:</w:t>
      </w:r>
      <w:r>
        <w:t xml:space="preserve"> </w:t>
      </w:r>
      <w:r>
        <w:t xml:space="preserve">Moscow Residential Complex "Zaryadye Towers"</w:t>
      </w:r>
    </w:p>
    <w:p>
      <w:pPr>
        <w:pStyle w:val="BodyText"/>
      </w:pPr>
      <w:r>
        <w:rPr>
          <w:bCs/>
          <w:b/>
        </w:rPr>
        <w:t xml:space="preserve">Address:</w:t>
      </w:r>
      <w:r>
        <w:t xml:space="preserve"> </w:t>
      </w:r>
      <w:r>
        <w:t xml:space="preserve">15 Bolshaya Nikitskaya Street, Apt. 214</w:t>
      </w:r>
    </w:p>
    <w:p>
      <w:pPr>
        <w:pStyle w:val="BodyText"/>
      </w:pPr>
      <w:r>
        <w:t xml:space="preserve">Moscow, Russia Moscow 103009</w:t>
      </w:r>
    </w:p>
    <w:p>
      <w:pPr>
        <w:pStyle w:val="BodyText"/>
      </w:pPr>
      <w:r>
        <w:rPr>
          <w:bCs/>
          <w:b/>
        </w:rPr>
        <w:t xml:space="preserve">Tax ID (INN):</w:t>
      </w:r>
      <w:r>
        <w:t xml:space="preserve"> </w:t>
      </w:r>
      <w:r>
        <w:t xml:space="preserve">7715987654</w:t>
      </w:r>
    </w:p>
    <w:p>
      <w:pPr>
        <w:pStyle w:val="BodyText"/>
      </w:pPr>
      <w:r>
        <w:rPr>
          <w:bCs/>
          <w:b/>
        </w:rPr>
        <w:t xml:space="preserve">Contact:</w:t>
      </w:r>
      <w:r>
        <w:t xml:space="preserve"> </w:t>
      </w:r>
      <w:r>
        <w:t xml:space="preserve">+7 (916) 555-12-34</w:t>
      </w:r>
    </w:p>
    <w:bookmarkEnd w:id="22"/>
    <w:bookmarkStart w:id="23" w:name="service-details"/>
    <w:p>
      <w:pPr>
        <w:pStyle w:val="Heading3"/>
      </w:pPr>
      <w:r>
        <w:t xml:space="preserve">Service Details</w:t>
      </w:r>
    </w:p>
    <w:p>
      <w:pPr>
        <w:pStyle w:val="FirstParagraph"/>
      </w:pPr>
      <w:r>
        <w:rPr>
          <w:bCs/>
          <w:b/>
        </w:rPr>
        <w:t xml:space="preserve">Service Type:</w:t>
      </w:r>
      <w:r>
        <w:t xml:space="preserve"> </w:t>
      </w:r>
      <w:r>
        <w:t xml:space="preserve">Commercial Electrician Work</w:t>
      </w:r>
    </w:p>
    <w:p>
      <w:pPr>
        <w:pStyle w:val="BodyText"/>
      </w:pPr>
      <w:r>
        <w:rPr>
          <w:bCs/>
          <w:b/>
        </w:rPr>
        <w:t xml:space="preserve">Electrician Assigned:</w:t>
      </w:r>
      <w:r>
        <w:t xml:space="preserve"> </w:t>
      </w:r>
      <w:r>
        <w:t xml:space="preserve">Sergey Ivanovich Kuznetsov</w:t>
      </w:r>
    </w:p>
    <w:p>
      <w:pPr>
        <w:pStyle w:val="BodyText"/>
      </w:pPr>
      <w:r>
        <w:rPr>
          <w:bCs/>
          <w:b/>
        </w:rPr>
        <w:t xml:space="preserve">License No.:</w:t>
      </w:r>
      <w:r>
        <w:t xml:space="preserve"> </w:t>
      </w:r>
      <w:r>
        <w:t xml:space="preserve">ЭЛ-2024-77-004521</w:t>
      </w:r>
    </w:p>
    <w:p>
      <w:pPr>
        <w:pStyle w:val="BodyText"/>
      </w:pPr>
      <w:r>
        <w:rPr>
          <w:bCs/>
          <w:b/>
        </w:rPr>
        <w:t xml:space="preserve">Work Period:</w:t>
      </w:r>
      <w:r>
        <w:t xml:space="preserve"> </w:t>
      </w:r>
      <w:r>
        <w:t xml:space="preserve">June 10 – June 14, 2025</w:t>
      </w:r>
    </w:p>
    <w:p>
      <w:pPr>
        <w:pStyle w:val="BodyText"/>
      </w:pPr>
      <w:r>
        <w:rPr>
          <w:bCs/>
          <w:b/>
        </w:rPr>
        <w:t xml:space="preserve">Region:</w:t>
      </w:r>
      <w:r>
        <w:t xml:space="preserve"> </w:t>
      </w:r>
      <w:r>
        <w:t xml:space="preserve">Russia Moscow, Central Administrative District</w:t>
      </w:r>
    </w:p>
    <w:bookmarkEnd w:id="23"/>
    <w:bookmarkStart w:id="24" w:name="Xbf14077a32d8250ff4589e044203772c631c94f"/>
    <w:p>
      <w:pPr>
        <w:pStyle w:val="Heading3"/>
      </w:pPr>
      <w:r>
        <w:t xml:space="preserve">Invoice Line Items – Electrician Services Rendered in Russia Moscow</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Electrician Service</w:t>
            </w:r>
          </w:p>
        </w:tc>
        <w:tc>
          <w:tcPr/>
          <w:p>
            <w:pPr>
              <w:pStyle w:val="Compact"/>
              <w:jc w:val="left"/>
            </w:pPr>
            <w:r>
              <w:t xml:space="preserve">Quantity</w:t>
            </w:r>
          </w:p>
        </w:tc>
        <w:tc>
          <w:tcPr/>
          <w:p>
            <w:pPr>
              <w:pStyle w:val="Compact"/>
              <w:jc w:val="left"/>
            </w:pPr>
            <w:r>
              <w:t xml:space="preserve">Unit Rate (RUB)</w:t>
            </w:r>
          </w:p>
        </w:tc>
        <w:tc>
          <w:tcPr/>
          <w:p>
            <w:pPr>
              <w:pStyle w:val="Compact"/>
              <w:jc w:val="left"/>
            </w:pPr>
            <w:r>
              <w:t xml:space="preserve">Amount (RUB)</w:t>
            </w:r>
          </w:p>
        </w:tc>
        <w:tc>
          <w:tcPr/>
          <w:p>
            <w:pPr>
              <w:pStyle w:val="Compact"/>
              <w:jc w:val="left"/>
            </w:pPr>
            <w:r>
              <w:t xml:space="preserve">VAT 20%</w:t>
            </w:r>
          </w:p>
        </w:tc>
      </w:tr>
      <w:tr>
        <w:tc>
          <w:tcPr/>
          <w:p>
            <w:pPr>
              <w:pStyle w:val="Compact"/>
              <w:jc w:val="left"/>
            </w:pPr>
            <w:r>
              <w:t xml:space="preserve">1</w:t>
            </w:r>
          </w:p>
        </w:tc>
        <w:tc>
          <w:tcPr/>
          <w:p>
            <w:pPr>
              <w:pStyle w:val="Compact"/>
              <w:jc w:val="left"/>
            </w:pPr>
            <w:r>
              <w:t xml:space="preserve">Full electrical panel replacement and rewiring of residential unit (120 m²) in Russia Moscow apartment complex</w:t>
            </w:r>
          </w:p>
        </w:tc>
        <w:tc>
          <w:tcPr/>
          <w:p>
            <w:pPr>
              <w:pStyle w:val="Compact"/>
              <w:jc w:val="left"/>
            </w:pPr>
            <w:r>
              <w:t xml:space="preserve">1 unit</w:t>
            </w:r>
          </w:p>
        </w:tc>
        <w:tc>
          <w:tcPr/>
          <w:p>
            <w:pPr>
              <w:pStyle w:val="Compact"/>
              <w:jc w:val="left"/>
            </w:pPr>
            <w:r>
              <w:t xml:space="preserve">85,000.00</w:t>
            </w:r>
          </w:p>
        </w:tc>
        <w:tc>
          <w:tcPr/>
          <w:p>
            <w:pPr>
              <w:pStyle w:val="Compact"/>
              <w:jc w:val="left"/>
            </w:pPr>
            <w:r>
              <w:t xml:space="preserve">85,000.00</w:t>
            </w:r>
          </w:p>
        </w:tc>
        <w:tc>
          <w:tcPr/>
          <w:p>
            <w:pPr>
              <w:pStyle w:val="Compact"/>
              <w:jc w:val="left"/>
            </w:pPr>
            <w:r>
              <w:t xml:space="preserve">17,000.00</w:t>
            </w:r>
          </w:p>
        </w:tc>
      </w:tr>
      <w:tr>
        <w:tc>
          <w:tcPr/>
          <w:p>
            <w:pPr>
              <w:pStyle w:val="Compact"/>
              <w:jc w:val="left"/>
            </w:pPr>
            <w:r>
              <w:t xml:space="preserve">2</w:t>
            </w:r>
          </w:p>
        </w:tc>
        <w:tc>
          <w:tcPr/>
          <w:p>
            <w:pPr>
              <w:pStyle w:val="Compact"/>
              <w:jc w:val="left"/>
            </w:pPr>
            <w:r>
              <w:t xml:space="preserve">Installation of 48 LED lighting fixtures, ceiling-mounted and recessed, including wiring and mounting hardware</w:t>
            </w:r>
          </w:p>
        </w:tc>
        <w:tc>
          <w:tcPr/>
          <w:p>
            <w:pPr>
              <w:pStyle w:val="Compact"/>
              <w:jc w:val="left"/>
            </w:pPr>
            <w:r>
              <w:t xml:space="preserve">48 units</w:t>
            </w:r>
          </w:p>
        </w:tc>
        <w:tc>
          <w:tcPr/>
          <w:p>
            <w:pPr>
              <w:pStyle w:val="Compact"/>
              <w:jc w:val="left"/>
            </w:pPr>
            <w:r>
              <w:t xml:space="preserve">3,200.00</w:t>
            </w:r>
          </w:p>
        </w:tc>
        <w:tc>
          <w:tcPr/>
          <w:p>
            <w:pPr>
              <w:pStyle w:val="Compact"/>
              <w:jc w:val="left"/>
            </w:pPr>
            <w:r>
              <w:t xml:space="preserve">153,600.00</w:t>
            </w:r>
          </w:p>
        </w:tc>
        <w:tc>
          <w:tcPr/>
          <w:p>
            <w:pPr>
              <w:pStyle w:val="Compact"/>
              <w:jc w:val="left"/>
            </w:pPr>
            <w:r>
              <w:t xml:space="preserve">30,720.00</w:t>
            </w:r>
          </w:p>
        </w:tc>
      </w:tr>
      <w:tr>
        <w:tc>
          <w:tcPr/>
          <w:p>
            <w:pPr>
              <w:pStyle w:val="Compact"/>
              <w:jc w:val="left"/>
            </w:pPr>
            <w:r>
              <w:t xml:space="preserve">3</w:t>
            </w:r>
          </w:p>
        </w:tc>
        <w:tc>
          <w:tcPr/>
          <w:p>
            <w:pPr>
              <w:pStyle w:val="Compact"/>
              <w:jc w:val="left"/>
            </w:pPr>
            <w:r>
              <w:t xml:space="preserve">Installation of 32 electrical outlets and 12 switch panels (Schneider Electric brand) throughout the premises</w:t>
            </w:r>
          </w:p>
        </w:tc>
        <w:tc>
          <w:tcPr/>
          <w:p>
            <w:pPr>
              <w:pStyle w:val="Compact"/>
              <w:jc w:val="left"/>
            </w:pPr>
            <w:r>
              <w:t xml:space="preserve">44 units</w:t>
            </w:r>
          </w:p>
        </w:tc>
        <w:tc>
          <w:tcPr/>
          <w:p>
            <w:pPr>
              <w:pStyle w:val="Compact"/>
              <w:jc w:val="left"/>
            </w:pPr>
            <w:r>
              <w:t xml:space="preserve">1,850.00</w:t>
            </w:r>
          </w:p>
        </w:tc>
        <w:tc>
          <w:tcPr/>
          <w:p>
            <w:pPr>
              <w:pStyle w:val="Compact"/>
              <w:jc w:val="left"/>
            </w:pPr>
            <w:r>
              <w:t xml:space="preserve">81,400.00</w:t>
            </w:r>
          </w:p>
        </w:tc>
        <w:tc>
          <w:tcPr/>
          <w:p>
            <w:pPr>
              <w:pStyle w:val="Compact"/>
              <w:jc w:val="left"/>
            </w:pPr>
            <w:r>
              <w:t xml:space="preserve">16,280.00</w:t>
            </w:r>
          </w:p>
        </w:tc>
      </w:tr>
      <w:tr>
        <w:tc>
          <w:tcPr/>
          <w:p>
            <w:pPr>
              <w:pStyle w:val="Compact"/>
              <w:jc w:val="left"/>
            </w:pPr>
            <w:r>
              <w:t xml:space="preserve">4</w:t>
            </w:r>
          </w:p>
        </w:tc>
        <w:tc>
          <w:tcPr/>
          <w:p>
            <w:pPr>
              <w:pStyle w:val="Compact"/>
              <w:jc w:val="left"/>
            </w:pPr>
            <w:r>
              <w:t xml:space="preserve">Grounding system inspection, correction, and certification per GOST R 50571 standards applicable in Russia Moscow</w:t>
            </w:r>
          </w:p>
        </w:tc>
        <w:tc>
          <w:tcPr/>
          <w:p>
            <w:pPr>
              <w:pStyle w:val="Compact"/>
              <w:jc w:val="left"/>
            </w:pPr>
            <w:r>
              <w:t xml:space="preserve">1 service</w:t>
            </w:r>
          </w:p>
        </w:tc>
        <w:tc>
          <w:tcPr/>
          <w:p>
            <w:pPr>
              <w:pStyle w:val="Compact"/>
              <w:jc w:val="left"/>
            </w:pPr>
            <w:r>
              <w:t xml:space="preserve">28,000.00</w:t>
            </w:r>
          </w:p>
        </w:tc>
        <w:tc>
          <w:tcPr/>
          <w:p>
            <w:pPr>
              <w:pStyle w:val="Compact"/>
              <w:jc w:val="left"/>
            </w:pPr>
            <w:r>
              <w:t xml:space="preserve">28,000.00</w:t>
            </w:r>
          </w:p>
        </w:tc>
        <w:tc>
          <w:tcPr/>
          <w:p>
            <w:pPr>
              <w:pStyle w:val="Compact"/>
              <w:jc w:val="left"/>
            </w:pPr>
            <w:r>
              <w:t xml:space="preserve">5,600.00</w:t>
            </w:r>
          </w:p>
        </w:tc>
      </w:tr>
      <w:tr>
        <w:tc>
          <w:tcPr/>
          <w:p>
            <w:pPr>
              <w:pStyle w:val="Compact"/>
              <w:jc w:val="left"/>
            </w:pPr>
            <w:r>
              <w:t xml:space="preserve">5</w:t>
            </w:r>
          </w:p>
        </w:tc>
        <w:tc>
          <w:tcPr/>
          <w:p>
            <w:pPr>
              <w:pStyle w:val="Compact"/>
              <w:jc w:val="left"/>
            </w:pPr>
            <w:r>
              <w:t xml:space="preserve">Installation of dedicated 3-phase power circuit for kitchen appliances and HVAC system (63A breaker)</w:t>
            </w:r>
          </w:p>
        </w:tc>
        <w:tc>
          <w:tcPr/>
          <w:p>
            <w:pPr>
              <w:pStyle w:val="Compact"/>
              <w:jc w:val="left"/>
            </w:pPr>
            <w:r>
              <w:t xml:space="preserve">1 circuit</w:t>
            </w:r>
          </w:p>
        </w:tc>
        <w:tc>
          <w:tcPr/>
          <w:p>
            <w:pPr>
              <w:pStyle w:val="Compact"/>
              <w:jc w:val="left"/>
            </w:pPr>
            <w:r>
              <w:t xml:space="preserve">42,000.00</w:t>
            </w:r>
          </w:p>
        </w:tc>
        <w:tc>
          <w:tcPr/>
          <w:p>
            <w:pPr>
              <w:pStyle w:val="Compact"/>
              <w:jc w:val="left"/>
            </w:pPr>
            <w:r>
              <w:t xml:space="preserve">42,000.00</w:t>
            </w:r>
          </w:p>
        </w:tc>
        <w:tc>
          <w:tcPr/>
          <w:p>
            <w:pPr>
              <w:pStyle w:val="Compact"/>
              <w:jc w:val="left"/>
            </w:pPr>
            <w:r>
              <w:t xml:space="preserve">8,400.00</w:t>
            </w:r>
          </w:p>
        </w:tc>
      </w:tr>
      <w:tr>
        <w:tc>
          <w:tcPr/>
          <w:p>
            <w:pPr>
              <w:pStyle w:val="Compact"/>
              <w:jc w:val="left"/>
            </w:pPr>
            <w:r>
              <w:t xml:space="preserve">6</w:t>
            </w:r>
          </w:p>
        </w:tc>
        <w:tc>
          <w:tcPr/>
          <w:p>
            <w:pPr>
              <w:pStyle w:val="Compact"/>
              <w:jc w:val="left"/>
            </w:pPr>
            <w:r>
              <w:t xml:space="preserve">Emergency electrical fault diagnosis and repair of short circuit in bathroom circuit (after-hours Electrician callout)</w:t>
            </w:r>
          </w:p>
        </w:tc>
        <w:tc>
          <w:tcPr/>
          <w:p>
            <w:pPr>
              <w:pStyle w:val="Compact"/>
              <w:jc w:val="left"/>
            </w:pPr>
            <w:r>
              <w:t xml:space="preserve">1 callout</w:t>
            </w:r>
          </w:p>
        </w:tc>
        <w:tc>
          <w:tcPr/>
          <w:p>
            <w:pPr>
              <w:pStyle w:val="Compact"/>
              <w:jc w:val="left"/>
            </w:pPr>
            <w:r>
              <w:t xml:space="preserve">18,500.00</w:t>
            </w:r>
          </w:p>
        </w:tc>
        <w:tc>
          <w:tcPr/>
          <w:p>
            <w:pPr>
              <w:pStyle w:val="Compact"/>
              <w:jc w:val="left"/>
            </w:pPr>
            <w:r>
              <w:t xml:space="preserve">18,500.00</w:t>
            </w:r>
          </w:p>
        </w:tc>
        <w:tc>
          <w:tcPr/>
          <w:p>
            <w:pPr>
              <w:pStyle w:val="Compact"/>
              <w:jc w:val="left"/>
            </w:pPr>
            <w:r>
              <w:t xml:space="preserve">3,700.00</w:t>
            </w:r>
          </w:p>
        </w:tc>
      </w:tr>
      <w:tr>
        <w:tc>
          <w:tcPr/>
          <w:p>
            <w:pPr>
              <w:pStyle w:val="Compact"/>
              <w:jc w:val="left"/>
            </w:pPr>
            <w:r>
              <w:t xml:space="preserve">7</w:t>
            </w:r>
          </w:p>
        </w:tc>
        <w:tc>
          <w:tcPr/>
          <w:p>
            <w:pPr>
              <w:pStyle w:val="Compact"/>
              <w:jc w:val="left"/>
            </w:pPr>
            <w:r>
              <w:t xml:space="preserve">Supply and installation of surge protection device (SPD) Type 2 for main distribution board</w:t>
            </w:r>
          </w:p>
        </w:tc>
        <w:tc>
          <w:tcPr/>
          <w:p>
            <w:pPr>
              <w:pStyle w:val="Compact"/>
              <w:jc w:val="left"/>
            </w:pPr>
            <w:r>
              <w:t xml:space="preserve">1 unit</w:t>
            </w:r>
          </w:p>
        </w:tc>
        <w:tc>
          <w:tcPr/>
          <w:p>
            <w:pPr>
              <w:pStyle w:val="Compact"/>
              <w:jc w:val="left"/>
            </w:pPr>
            <w:r>
              <w:t xml:space="preserve">12,800.00</w:t>
            </w:r>
          </w:p>
        </w:tc>
        <w:tc>
          <w:tcPr/>
          <w:p>
            <w:pPr>
              <w:pStyle w:val="Compact"/>
              <w:jc w:val="left"/>
            </w:pPr>
            <w:r>
              <w:t xml:space="preserve">12,800.00</w:t>
            </w:r>
          </w:p>
        </w:tc>
        <w:tc>
          <w:tcPr/>
          <w:p>
            <w:pPr>
              <w:pStyle w:val="Compact"/>
              <w:jc w:val="left"/>
            </w:pPr>
            <w:r>
              <w:t xml:space="preserve">2,560.00</w:t>
            </w:r>
          </w:p>
        </w:tc>
      </w:tr>
      <w:tr>
        <w:tc>
          <w:tcPr/>
          <w:p>
            <w:pPr>
              <w:pStyle w:val="Compact"/>
              <w:jc w:val="left"/>
            </w:pPr>
            <w:r>
              <w:t xml:space="preserve">8</w:t>
            </w:r>
          </w:p>
        </w:tc>
        <w:tc>
          <w:tcPr/>
          <w:p>
            <w:pPr>
              <w:pStyle w:val="Compact"/>
              <w:jc w:val="left"/>
            </w:pPr>
            <w:r>
              <w:t xml:space="preserve">Final electrical safety inspection, load testing, and issuance of compliance certificate for Russia Moscow housing authority</w:t>
            </w:r>
          </w:p>
        </w:tc>
        <w:tc>
          <w:tcPr/>
          <w:p>
            <w:pPr>
              <w:pStyle w:val="Compact"/>
              <w:jc w:val="left"/>
            </w:pPr>
            <w:r>
              <w:t xml:space="preserve">1 service</w:t>
            </w:r>
          </w:p>
        </w:tc>
        <w:tc>
          <w:tcPr/>
          <w:p>
            <w:pPr>
              <w:pStyle w:val="Compact"/>
              <w:jc w:val="left"/>
            </w:pPr>
            <w:r>
              <w:t xml:space="preserve">15,000.00</w:t>
            </w:r>
          </w:p>
        </w:tc>
        <w:tc>
          <w:tcPr/>
          <w:p>
            <w:pPr>
              <w:pStyle w:val="Compact"/>
              <w:jc w:val="left"/>
            </w:pPr>
            <w:r>
              <w:t xml:space="preserve">15,000.00</w:t>
            </w:r>
          </w:p>
        </w:tc>
        <w:tc>
          <w:tcPr/>
          <w:p>
            <w:pPr>
              <w:pStyle w:val="Compact"/>
              <w:jc w:val="left"/>
            </w:pPr>
            <w:r>
              <w:t xml:space="preserve">3,000.00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VAT)</w:t>
            </w:r>
          </w:p>
        </w:tc>
        <w:tc>
          <w:tcPr/>
          <w:p>
            <w:pPr>
              <w:pStyle w:val="Compact"/>
              <w:jc w:val="right"/>
            </w:pPr>
            <w:r>
              <w:t xml:space="preserve">436,300.00 RUB</w:t>
            </w:r>
          </w:p>
        </w:tc>
      </w:tr>
      <w:tr>
        <w:tc>
          <w:tcPr/>
          <w:p>
            <w:pPr>
              <w:pStyle w:val="Compact"/>
              <w:jc w:val="left"/>
            </w:pPr>
            <w:r>
              <w:t xml:space="preserve">VAT (20%)</w:t>
            </w:r>
          </w:p>
        </w:tc>
        <w:tc>
          <w:tcPr/>
          <w:p>
            <w:pPr>
              <w:pStyle w:val="Compact"/>
              <w:jc w:val="right"/>
            </w:pPr>
            <w:r>
              <w:t xml:space="preserve">87,260.00 RUB</w:t>
            </w:r>
          </w:p>
        </w:tc>
      </w:tr>
      <w:tr>
        <w:tc>
          <w:tcPr/>
          <w:p>
            <w:pPr>
              <w:pStyle w:val="Compact"/>
              <w:jc w:val="left"/>
            </w:pPr>
            <w:r>
              <w:t xml:space="preserve">Discount (Loyal Client – 5%)</w:t>
            </w:r>
          </w:p>
        </w:tc>
        <w:tc>
          <w:tcPr/>
          <w:p>
            <w:pPr>
              <w:pStyle w:val="Compact"/>
              <w:jc w:val="right"/>
            </w:pPr>
            <w:r>
              <w:t xml:space="preserve">-21,815.00 RUB</w:t>
            </w:r>
          </w:p>
        </w:tc>
      </w:tr>
      <w:tr>
        <w:tc>
          <w:tcPr/>
          <w:p>
            <w:pPr>
              <w:pStyle w:val="Compact"/>
              <w:jc w:val="left"/>
            </w:pPr>
            <w:r>
              <w:t xml:space="preserve">GRAND TOTAL</w:t>
            </w:r>
          </w:p>
        </w:tc>
        <w:tc>
          <w:tcPr/>
          <w:p>
            <w:pPr>
              <w:pStyle w:val="Compact"/>
              <w:jc w:val="right"/>
            </w:pPr>
            <w:r>
              <w:t xml:space="preserve">501,745.00 RUB</w:t>
            </w:r>
          </w:p>
        </w:tc>
      </w:tr>
    </w:tbl>
    <w:bookmarkEnd w:id="24"/>
    <w:bookmarkStart w:id="25" w:name="payment-terms-and-conditions"/>
    <w:p>
      <w:pPr>
        <w:pStyle w:val="Heading3"/>
      </w:pPr>
      <w:r>
        <w:t xml:space="preserve">Payment Terms and Conditions</w:t>
      </w:r>
    </w:p>
    <w:p>
      <w:pPr>
        <w:pStyle w:val="FirstParagraph"/>
      </w:pPr>
      <w:r>
        <w:rPr>
          <w:bCs/>
          <w:b/>
        </w:rPr>
        <w:t xml:space="preserve">1. Payment Method:</w:t>
      </w:r>
      <w:r>
        <w:t xml:space="preserve"> </w:t>
      </w:r>
      <w:r>
        <w:t xml:space="preserve">This Invoice must be settled via bank transfer to the account of Volga Electric Services LLC at Sberbank, Moscow Branch (BIC: 044525225, Account: 40702810400000012345). Payment is due within thirty (30) calendar days from the date of this Invoice, i.e., no later than July 15, 2025.</w:t>
      </w:r>
    </w:p>
    <w:p>
      <w:pPr>
        <w:pStyle w:val="BodyText"/>
      </w:pPr>
      <w:r>
        <w:rPr>
          <w:bCs/>
          <w:b/>
        </w:rPr>
        <w:t xml:space="preserve">2. Late Payment:</w:t>
      </w:r>
      <w:r>
        <w:t xml:space="preserve"> </w:t>
      </w:r>
      <w:r>
        <w:t xml:space="preserve">In accordance with the Civil Code of the Russian Federation, a penalty of 0.1% per day of delay shall be applied to the outstanding balance of this Invoice. The Electrician services rendered are non-refundable once the work has been completed and signed off by the client.</w:t>
      </w:r>
    </w:p>
    <w:p>
      <w:pPr>
        <w:pStyle w:val="BodyText"/>
      </w:pPr>
      <w:r>
        <w:rPr>
          <w:bCs/>
          <w:b/>
        </w:rPr>
        <w:t xml:space="preserve">3. Tax Compliance:</w:t>
      </w:r>
      <w:r>
        <w:t xml:space="preserve"> </w:t>
      </w:r>
      <w:r>
        <w:t xml:space="preserve">This Invoice is issued in full compliance with the Tax Code of the Russian Federation. The 20% Value Added Tax (VAT) is included as mandated for all registered business entities operating in Russia Moscow. A duplicate Invoice or a corrected Invoice may be issued upon written request within the statutory period.</w:t>
      </w:r>
    </w:p>
    <w:p>
      <w:pPr>
        <w:pStyle w:val="BodyText"/>
      </w:pPr>
      <w:r>
        <w:rPr>
          <w:bCs/>
          <w:b/>
        </w:rPr>
        <w:t xml:space="preserve">4. Warranty:</w:t>
      </w:r>
      <w:r>
        <w:t xml:space="preserve"> </w:t>
      </w:r>
      <w:r>
        <w:t xml:space="preserve">Volga Electric Services LLC provides a comprehensive 24-month warranty on all Electrician labor and workmanship described in this Invoice. All materials and components (lighting fixtures, outlets, breakers, surge protectors) carry their respective manufacturer warranties, which are transferable to the client upon completion.</w:t>
      </w:r>
    </w:p>
    <w:p>
      <w:pPr>
        <w:pStyle w:val="BodyText"/>
      </w:pPr>
      <w:r>
        <w:rPr>
          <w:bCs/>
          <w:b/>
        </w:rPr>
        <w:t xml:space="preserve">5. Regulatory Compliance:</w:t>
      </w:r>
      <w:r>
        <w:t xml:space="preserve"> </w:t>
      </w:r>
      <w:r>
        <w:t xml:space="preserve">All Electrician work performed under this Invoice has been executed in strict accordance with the Russian National Electrical Code (PUE – Правила устройства электроустановок), GOST standards, and the specific municipal regulations governing electrical installations in Russia Moscow. The final compliance certificate has been submitted to the Moscow Housing Inspection Authority (ГИЖНКИ) for the record.</w:t>
      </w:r>
    </w:p>
    <w:p>
      <w:pPr>
        <w:pStyle w:val="BodyText"/>
      </w:pPr>
      <w:r>
        <w:rPr>
          <w:bCs/>
          <w:b/>
        </w:rPr>
        <w:t xml:space="preserve">6. Scope Limitation:</w:t>
      </w:r>
      <w:r>
        <w:t xml:space="preserve"> </w:t>
      </w:r>
      <w:r>
        <w:t xml:space="preserve">This Invoice covers only the Electrician services explicitly itemized above. Any additional work, modifications, or emergency callouts not listed herein shall be subject to a separate Invoice and prior written approval from the client. The Electrician team will not commence any out-of-scope work without a signed change order.</w:t>
      </w:r>
    </w:p>
    <w:p>
      <w:pPr>
        <w:pStyle w:val="BodyText"/>
      </w:pPr>
      <w:r>
        <w:rPr>
          <w:bCs/>
          <w:b/>
        </w:rPr>
        <w:t xml:space="preserve">7. Dispute Resolution:</w:t>
      </w:r>
      <w:r>
        <w:t xml:space="preserve"> </w:t>
      </w:r>
      <w:r>
        <w:t xml:space="preserve">Any disputes arising from this Invoice or the Electrician services rendered shall be resolved through negotiation first, followed by arbitration under the Moscow Arbitration Court in accordance with the applicable laws of the Russian Federation. The jurisdiction for this Invoice is exclusively the courts of Russia Moscow.</w:t>
      </w:r>
    </w:p>
    <w:p>
      <w:pPr>
        <w:pStyle w:val="BodyText"/>
      </w:pPr>
      <w:r>
        <w:rPr>
          <w:bCs/>
          <w:b/>
        </w:rPr>
        <w:t xml:space="preserve">8. Acceptance:</w:t>
      </w:r>
      <w:r>
        <w:t xml:space="preserve"> </w:t>
      </w:r>
      <w:r>
        <w:t xml:space="preserve">By signing below, the client acknowledges receipt of this Invoice, confirms that the Electrician services described have been satisfactorily completed at the specified location in Russia Moscow, and agrees to the payment terms outlined above.</w:t>
      </w:r>
    </w:p>
    <w:p>
      <w:pPr>
        <w:pStyle w:val="BodyText"/>
      </w:pPr>
      <w:r>
        <w:t xml:space="preserve">Authorized Signatory – Volga Electric Services LLC</w:t>
      </w:r>
    </w:p>
    <w:p>
      <w:pPr>
        <w:pStyle w:val="BodyText"/>
      </w:pPr>
      <w:r>
        <w:t xml:space="preserve">Maria Petrovna Sidorova, Chief Financial Officer</w:t>
      </w:r>
    </w:p>
    <w:p>
      <w:pPr>
        <w:pStyle w:val="BodyText"/>
      </w:pPr>
      <w:r>
        <w:t xml:space="preserve">Date: June 15, 2025</w:t>
      </w:r>
    </w:p>
    <w:p>
      <w:pPr>
        <w:pStyle w:val="BodyText"/>
      </w:pPr>
      <w:r>
        <w:t xml:space="preserve">Client Acknowledgment and Acceptance</w:t>
      </w:r>
    </w:p>
    <w:p>
      <w:pPr>
        <w:pStyle w:val="BodyText"/>
      </w:pPr>
      <w:r>
        <w:t xml:space="preserve">Alexander D. Volkov, Property Owner</w:t>
      </w:r>
    </w:p>
    <w:p>
      <w:pPr>
        <w:pStyle w:val="BodyText"/>
      </w:pPr>
      <w:r>
        <w:t xml:space="preserve">Date: ____________________</w:t>
      </w:r>
    </w:p>
    <w:p>
      <w:pPr>
        <w:pStyle w:val="BodyText"/>
      </w:pPr>
      <w:r>
        <w:t xml:space="preserve">This Invoice was generated by Volga Electric Services LLC, a licensed Electrician contractor registered in Russia Moscow. All services are performed by certified Electrician professionals holding valid permits issued by the Moscow Department of Energy. This document is valid for accounting and tax purposes in the Russian Federation. Invoice No. VE-2025-04871 | Page 1 of 1</w:t>
      </w:r>
    </w:p>
    <w:p>
      <w:pPr>
        <w:pStyle w:val="BodyText"/>
      </w:pPr>
      <w:r>
        <w:t xml:space="preserve">© 2025 Volga Electric Services LLC | Moscow, Russia Moscow |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Electrician Services - Russia Moscow</dc:title>
  <dc:creator/>
  <dc:language>en</dc:language>
  <cp:keywords/>
  <dcterms:created xsi:type="dcterms:W3CDTF">2026-10-10T10:21:12Z</dcterms:created>
  <dcterms:modified xsi:type="dcterms:W3CDTF">2026-10-10T10:21:12Z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