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dhaka-advanced-electronics-solutions"/>
    <w:p>
      <w:pPr>
        <w:pStyle w:val="Heading1"/>
      </w:pPr>
      <w:r>
        <w:t xml:space="preserve">Dhaka Advanced Electronics Solutions</w:t>
      </w:r>
    </w:p>
    <w:p>
      <w:pPr>
        <w:pStyle w:val="FirstParagraph"/>
      </w:pPr>
      <w:r>
        <w:rPr>
          <w:bCs/>
          <w:b/>
        </w:rPr>
        <w:t xml:space="preserve">Lead Electronics Engineer:</w:t>
      </w:r>
      <w:r>
        <w:t xml:space="preserve"> </w:t>
      </w:r>
      <w:r>
        <w:t xml:space="preserve">Engr. Rafiqul Islam</w:t>
      </w:r>
    </w:p>
    <w:p>
      <w:pPr>
        <w:pStyle w:val="BodyText"/>
      </w:pPr>
      <w:r>
        <w:t xml:space="preserve">House 42, Road 11, Block C, Banani</w:t>
      </w:r>
    </w:p>
    <w:p>
      <w:pPr>
        <w:pStyle w:val="BodyText"/>
      </w:pPr>
      <w:r>
        <w:t xml:space="preserve">Dhaka 1213, Bangladesh</w:t>
      </w:r>
    </w:p>
    <w:p>
      <w:pPr>
        <w:pStyle w:val="BodyText"/>
      </w:pPr>
      <w:r>
        <w:t xml:space="preserve">Email: billing@dhakaelectronics.com.bd</w:t>
      </w:r>
    </w:p>
    <w:p>
      <w:pPr>
        <w:pStyle w:val="BodyText"/>
      </w:pPr>
      <w:r>
        <w:t xml:space="preserve">Phone: +880 1711-555-000</w:t>
      </w:r>
    </w:p>
    <w:p>
      <w:pPr>
        <w:pStyle w:val="BodyText"/>
      </w:pPr>
      <w:r>
        <w:t xml:space="preserve">TIN: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Apex Manufacturing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15, Sector 4, Uttara Industrial Area</w:t>
      </w:r>
    </w:p>
    <w:p>
      <w:pPr>
        <w:pStyle w:val="BodyText"/>
      </w:pPr>
      <w:r>
        <w:t xml:space="preserve">Dhaka 1230, Bangladesh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PCB Design &amp; Automation Control System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Uttara Factory, Dhaka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15, 2023 - Oct 20,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Schematic Design &amp; Layout:</w:t>
            </w:r>
            <w:r>
              <w:t xml:space="preserve"> </w:t>
            </w:r>
            <w:r>
              <w:t xml:space="preserve">Comprehensive design of a 4-layer Printed Circuit Board for the assembly line controller. Includes component selection, schematic capture using Altium Designer, and signal integrity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Firmware Development:</w:t>
            </w:r>
            <w:r>
              <w:t xml:space="preserve"> </w:t>
            </w:r>
            <w:r>
              <w:t xml:space="preserve">Programming of the microcontroller unit (MCU) using C/C++. Implementation of PID control loops for motor speed regulation and I2C/SPI communication protocols for sensor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Prototyping &amp; Testing:</w:t>
            </w:r>
            <w:r>
              <w:t xml:space="preserve"> </w:t>
            </w:r>
            <w:r>
              <w:t xml:space="preserve">Assembly of prototype units in the Dhaka workshop. Conducting rigorous electrical testing, thermal analysis, and debugging of hardware faults to ensure compliance with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Calibration:</w:t>
            </w:r>
            <w:r>
              <w:t xml:space="preserve"> </w:t>
            </w:r>
            <w:r>
              <w:t xml:space="preserve">Travel to Uttara, Dhaka for physical installation of the control units. Calibration of sensors and integration with the existing factory SCADA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Preparation of detailed engineering reports, user manuals, and circuit diagrams in English and Bengali for the client's technical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375,000.00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18,750.00 BDT</w:t>
      </w:r>
    </w:p>
    <w:p>
      <w:pPr>
        <w:pStyle w:val="BodyText"/>
      </w:pPr>
      <w:r>
        <w:t xml:space="preserve">Advance Paid:</w:t>
      </w:r>
      <w:r>
        <w:t xml:space="preserve"> </w:t>
      </w:r>
      <w:r>
        <w:t xml:space="preserve">-50,000.00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343,750.00 BDT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the payment within 14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BRAC Bank PLC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Banani Branch, Dhaka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Dhaka Advanced Electronics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BRACBDDH</w:t>
      </w:r>
    </w:p>
    <w:p>
      <w:pPr>
        <w:pStyle w:val="BodyText"/>
      </w:pPr>
      <w:r>
        <w:t xml:space="preserve">Please reference Invoice #INV-2023-10-045 in the transaction details.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electronics engineering services detailed above. Any additional work requested by the client will be billed separately at the agreed hourly rate.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 6-month warranty is provided on the design and firmware against defects in workmanship. This does not cover damage caused by misuse or external power surges.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intellectual property rights regarding the custom designs and code transfer to the client.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Late Payment:</w:t>
      </w:r>
      <w:r>
        <w:t xml:space="preserve"> </w:t>
      </w:r>
      <w:r>
        <w:t xml:space="preserve">A late fee of 2% per month will be applied to overdue balances.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under the laws of Bangladesh, specifically within the jurisdiction of Dhaka courts.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Engr. Rafiqul Islam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2026-10-10T02:30:26Z</dcterms:created>
  <dcterms:modified xsi:type="dcterms:W3CDTF">2026-10-10T02:30:26Z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