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brasília-tech-engineering"/>
    <w:p>
      <w:pPr>
        <w:pStyle w:val="Heading1"/>
      </w:pPr>
      <w:r>
        <w:t xml:space="preserve">BRASÍLIA TECH ENGINEERING</w:t>
      </w:r>
    </w:p>
    <w:p>
      <w:pPr>
        <w:pStyle w:val="FirstParagraph"/>
      </w:pPr>
      <w:r>
        <w:rPr>
          <w:bCs/>
          <w:b/>
        </w:rPr>
        <w:t xml:space="preserve">Electronics Engineering &amp; Embedded Systems</w:t>
      </w:r>
    </w:p>
    <w:p>
      <w:pPr>
        <w:pStyle w:val="BodyText"/>
      </w:pPr>
      <w:r>
        <w:t xml:space="preserve">Quadra 02, Bloco A, Sala 501, Asa Norte</w:t>
      </w:r>
    </w:p>
    <w:p>
      <w:pPr>
        <w:pStyle w:val="BodyText"/>
      </w:pPr>
      <w:r>
        <w:t xml:space="preserve">Brasília - DF, 70040-020, Brazil</w:t>
      </w:r>
    </w:p>
    <w:p>
      <w:pPr>
        <w:pStyle w:val="BodyText"/>
      </w:pPr>
      <w:r>
        <w:t xml:space="preserve">CNPJ: 00.000.000/0001-00</w:t>
      </w:r>
    </w:p>
    <w:p>
      <w:pPr>
        <w:pStyle w:val="BodyText"/>
      </w:pPr>
      <w:r>
        <w:t xml:space="preserve">Email: billing@brasiliatecheng.com.br</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from-service-provider"/>
    <w:p>
      <w:pPr>
        <w:pStyle w:val="Heading3"/>
      </w:pPr>
      <w:r>
        <w:t xml:space="preserve">Bill From (Service Provider)</w:t>
      </w:r>
    </w:p>
    <w:p>
      <w:pPr>
        <w:pStyle w:val="FirstParagraph"/>
      </w:pPr>
      <w:r>
        <w:rPr>
          <w:bCs/>
          <w:b/>
        </w:rPr>
        <w:t xml:space="preserve">Lead Electronics Engineer:</w:t>
      </w:r>
      <w:r>
        <w:t xml:space="preserve"> </w:t>
      </w:r>
      <w:r>
        <w:t xml:space="preserve">Dr. Carlos Eduardo Silva</w:t>
      </w:r>
    </w:p>
    <w:p>
      <w:pPr>
        <w:pStyle w:val="BodyText"/>
      </w:pPr>
      <w:r>
        <w:t xml:space="preserve">CREA-DF Registration: 123456-D</w:t>
      </w:r>
    </w:p>
    <w:p>
      <w:pPr>
        <w:pStyle w:val="BodyText"/>
      </w:pPr>
      <w:r>
        <w:t xml:space="preserve">Specialization: High-Frequency Circuit Design &amp; IoT Protocols</w:t>
      </w:r>
    </w:p>
    <w:p>
      <w:pPr>
        <w:pStyle w:val="BodyText"/>
      </w:pPr>
      <w:r>
        <w:t xml:space="preserve">Brasília, Federal District, Brazil</w:t>
      </w:r>
    </w:p>
    <w:bookmarkEnd w:id="22"/>
    <w:bookmarkStart w:id="23" w:name="bill-to-client"/>
    <w:p>
      <w:pPr>
        <w:pStyle w:val="Heading3"/>
      </w:pPr>
      <w:r>
        <w:t xml:space="preserve">Bill To (Client)</w:t>
      </w:r>
    </w:p>
    <w:p>
      <w:pPr>
        <w:pStyle w:val="FirstParagraph"/>
      </w:pPr>
      <w:r>
        <w:rPr>
          <w:bCs/>
          <w:b/>
        </w:rPr>
        <w:t xml:space="preserve">Client Name:</w:t>
      </w:r>
      <w:r>
        <w:t xml:space="preserve"> </w:t>
      </w:r>
      <w:r>
        <w:t xml:space="preserve">GovTech Solutions Ltda.</w:t>
      </w:r>
    </w:p>
    <w:p>
      <w:pPr>
        <w:pStyle w:val="BodyText"/>
      </w:pPr>
      <w:r>
        <w:t xml:space="preserve">Attn: Procurement Department</w:t>
      </w:r>
    </w:p>
    <w:p>
      <w:pPr>
        <w:pStyle w:val="BodyText"/>
      </w:pPr>
      <w:r>
        <w:t xml:space="preserve">SCIE Quadra 3, Lote 12, Edifício Tech Park</w:t>
      </w:r>
    </w:p>
    <w:p>
      <w:pPr>
        <w:pStyle w:val="BodyText"/>
      </w:pPr>
      <w:r>
        <w:t xml:space="preserve">Brasília - DF, 70816-000, Brazil</w:t>
      </w:r>
    </w:p>
    <w:p>
      <w:pPr>
        <w:pStyle w:val="BodyText"/>
      </w:pPr>
      <w:r>
        <w:t xml:space="preserve">CNPJ: 11.222.333/0001-44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Quantity / Hours</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PCB Design &amp; Layout Optimization:</w:t>
            </w:r>
            <w:r>
              <w:t xml:space="preserve"> </w:t>
            </w:r>
            <w:r>
              <w:t xml:space="preserve">Comprehensive schematic capture and multi-layer Printed Circuit Board layout for the new IoT sensor array. Includes impedance matching for high-speed signals and thermal analysis to ensure reliability within the specific climatic conditions of Brasília.</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Embedded Firmware Development:</w:t>
            </w:r>
            <w:r>
              <w:t xml:space="preserve"> </w:t>
            </w:r>
            <w:r>
              <w:t xml:space="preserve">Low-level C/C++ programming for ARM Cortex-M microcontrollers. Implementation of power management algorithms and communication stacks (LoRaWAN and MQTT) tailored for the client's infrastructure in the Federal District.</w:t>
            </w:r>
          </w:p>
        </w:tc>
        <w:tc>
          <w:tcPr/>
          <w:p>
            <w:pPr>
              <w:pStyle w:val="Compact"/>
              <w:jc w:val="left"/>
            </w:pPr>
            <w:r>
              <w:t xml:space="preserve">60.0</w:t>
            </w:r>
          </w:p>
        </w:tc>
        <w:tc>
          <w:tcPr/>
          <w:p>
            <w:pPr>
              <w:pStyle w:val="Compact"/>
              <w:jc w:val="left"/>
            </w:pPr>
            <w:r>
              <w:t xml:space="preserve">275.00</w:t>
            </w:r>
          </w:p>
        </w:tc>
        <w:tc>
          <w:tcPr/>
          <w:p>
            <w:pPr>
              <w:pStyle w:val="Compact"/>
              <w:jc w:val="left"/>
            </w:pPr>
            <w:r>
              <w:t xml:space="preserve">16,500.00</w:t>
            </w:r>
          </w:p>
        </w:tc>
      </w:tr>
      <w:tr>
        <w:tc>
          <w:tcPr/>
          <w:p>
            <w:pPr>
              <w:pStyle w:val="Compact"/>
              <w:jc w:val="left"/>
            </w:pPr>
            <w:r>
              <w:t xml:space="preserve">3</w:t>
            </w:r>
          </w:p>
        </w:tc>
        <w:tc>
          <w:tcPr/>
          <w:p>
            <w:pPr>
              <w:pStyle w:val="Compact"/>
              <w:jc w:val="left"/>
            </w:pPr>
            <w:r>
              <w:rPr>
                <w:bCs/>
                <w:b/>
              </w:rPr>
              <w:t xml:space="preserve">EMC/EMI Compliance Testing:</w:t>
            </w:r>
            <w:r>
              <w:t xml:space="preserve"> </w:t>
            </w:r>
            <w:r>
              <w:t xml:space="preserve">Electromagnetic Compatibility testing and mitigation strategies to ensure the device meets ABNT NBR IEC standards. This service ensures the electronics do not interfere with sensitive government communication equipment in Brasília.</w:t>
            </w:r>
          </w:p>
        </w:tc>
        <w:tc>
          <w:tcPr/>
          <w:p>
            <w:pPr>
              <w:pStyle w:val="Compact"/>
              <w:jc w:val="left"/>
            </w:pPr>
            <w:r>
              <w:t xml:space="preserve">15.0</w:t>
            </w:r>
          </w:p>
        </w:tc>
        <w:tc>
          <w:tcPr/>
          <w:p>
            <w:pPr>
              <w:pStyle w:val="Compact"/>
              <w:jc w:val="left"/>
            </w:pPr>
            <w:r>
              <w:t xml:space="preserve">300.00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Technical Consultation &amp; Documentation:</w:t>
            </w:r>
            <w:r>
              <w:t xml:space="preserve"> </w:t>
            </w:r>
            <w:r>
              <w:t xml:space="preserve">On-site consultation at the client's facility in Brasília to oversee prototype integration. Includes final technical report, bill of materials (BOM) optimization, and handover of all source files and Gerber data.</w:t>
            </w:r>
          </w:p>
        </w:tc>
        <w:tc>
          <w:tcPr/>
          <w:p>
            <w:pPr>
              <w:pStyle w:val="Compact"/>
              <w:jc w:val="left"/>
            </w:pPr>
            <w:r>
              <w:t xml:space="preserve">10.0</w:t>
            </w:r>
          </w:p>
        </w:tc>
        <w:tc>
          <w:tcPr/>
          <w:p>
            <w:pPr>
              <w:pStyle w:val="Compact"/>
              <w:jc w:val="left"/>
            </w:pPr>
            <w:r>
              <w:t xml:space="preserve">350.00</w:t>
            </w:r>
          </w:p>
        </w:tc>
        <w:tc>
          <w:tcPr/>
          <w:p>
            <w:pPr>
              <w:pStyle w:val="Compact"/>
              <w:jc w:val="left"/>
            </w:pPr>
            <w:r>
              <w:t xml:space="preserve">3,500.00</w:t>
            </w:r>
          </w:p>
        </w:tc>
      </w:tr>
    </w:tbl>
    <w:p>
      <w:pPr>
        <w:pStyle w:val="BodyText"/>
      </w:pPr>
      <w:r>
        <w:t xml:space="preserve">Subtotal:</w:t>
      </w:r>
      <w:r>
        <w:t xml:space="preserve"> </w:t>
      </w:r>
      <w:r>
        <w:t xml:space="preserve">R$ 34,500.00</w:t>
      </w:r>
    </w:p>
    <w:p>
      <w:pPr>
        <w:pStyle w:val="BodyText"/>
      </w:pPr>
      <w:r>
        <w:t xml:space="preserve">Discount (Early Payment):</w:t>
      </w:r>
      <w:r>
        <w:t xml:space="preserve"> </w:t>
      </w:r>
      <w:r>
        <w:t xml:space="preserve">- R$ 0.00</w:t>
      </w:r>
    </w:p>
    <w:p>
      <w:pPr>
        <w:pStyle w:val="BodyText"/>
      </w:pPr>
      <w:r>
        <w:t xml:space="preserve">Taxes (ISS - Brasília):</w:t>
      </w:r>
      <w:r>
        <w:t xml:space="preserve"> </w:t>
      </w:r>
      <w:r>
        <w:t xml:space="preserve">R$ 1,725.00</w:t>
      </w:r>
    </w:p>
    <w:p>
      <w:pPr>
        <w:pStyle w:val="BodyText"/>
      </w:pPr>
      <w:r>
        <w:t xml:space="preserve">TOTAL DUE:</w:t>
      </w:r>
      <w:r>
        <w:t xml:space="preserve"> </w:t>
      </w:r>
      <w:r>
        <w:t xml:space="preserve">R$ 36,225.00</w:t>
      </w:r>
    </w:p>
    <w:bookmarkStart w:id="24" w:name="X7c284cb4b8523f2391e6583c95010bab028d47a"/>
    <w:p>
      <w:pPr>
        <w:pStyle w:val="Heading3"/>
      </w:pPr>
      <w:r>
        <w:t xml:space="preserve">Terms and Conditions &amp; Payment Instructions</w:t>
      </w:r>
    </w:p>
    <w:p>
      <w:pPr>
        <w:pStyle w:val="FirstParagraph"/>
      </w:pPr>
      <w:r>
        <w:rPr>
          <w:bCs/>
          <w:b/>
        </w:rPr>
        <w:t xml:space="preserve">Payment Method:</w:t>
      </w:r>
      <w:r>
        <w:t xml:space="preserve"> </w:t>
      </w:r>
      <w:r>
        <w:t xml:space="preserve">Bank Transfer (TED/DOC) to Banco do Brasil, Agency 1234-5, Account 67890-1.</w:t>
      </w:r>
    </w:p>
    <w:p>
      <w:pPr>
        <w:pStyle w:val="BodyText"/>
      </w:pPr>
      <w:r>
        <w:rPr>
          <w:bCs/>
          <w:b/>
        </w:rPr>
        <w:t xml:space="preserve">Due Date:</w:t>
      </w:r>
      <w:r>
        <w:t xml:space="preserve"> </w:t>
      </w:r>
      <w:r>
        <w:t xml:space="preserve">Payment is due within 14 days of the invoice date. Late payments will incur a penalty of 1% per month plus interest.</w:t>
      </w:r>
    </w:p>
    <w:p>
      <w:pPr>
        <w:pStyle w:val="BodyText"/>
      </w:pPr>
      <w:r>
        <w:rPr>
          <w:bCs/>
          <w:b/>
        </w:rPr>
        <w:t xml:space="preserve">Scope of Work:</w:t>
      </w:r>
      <w:r>
        <w:t xml:space="preserve"> </w:t>
      </w:r>
      <w:r>
        <w:t xml:space="preserve">This invoice covers the professional services rendered by a certified Electronics Engineer based in Brasília, Brazil. All designs are original and intellectual property rights transfer to the client upon full payment.</w:t>
      </w:r>
    </w:p>
    <w:p>
      <w:pPr>
        <w:pStyle w:val="BodyText"/>
      </w:pPr>
      <w:r>
        <w:rPr>
          <w:bCs/>
          <w:b/>
        </w:rPr>
        <w:t xml:space="preserve">Regulatory Compliance:</w:t>
      </w:r>
      <w:r>
        <w:t xml:space="preserve"> </w:t>
      </w:r>
      <w:r>
        <w:t xml:space="preserve">All engineering services comply with the regulations set forth by the Federal Council of Engineering and Agronomy (CONFEA) and the Regional Council of Engineering and Agronomy of the Federal District (CREA-DF).</w:t>
      </w:r>
    </w:p>
    <w:p>
      <w:pPr>
        <w:pStyle w:val="BodyText"/>
      </w:pPr>
      <w:r>
        <w:rPr>
          <w:bCs/>
          <w:b/>
        </w:rPr>
        <w:t xml:space="preserve">Validity:</w:t>
      </w:r>
      <w:r>
        <w:t xml:space="preserve"> </w:t>
      </w:r>
      <w:r>
        <w:t xml:space="preserve">This invoice is valid for 30 days. Please reference Invoice #INV-2023-10-042 in all communications regarding this payment.</w:t>
      </w:r>
    </w:p>
    <w:bookmarkEnd w:id="24"/>
    <w:p>
      <w:pPr>
        <w:pStyle w:val="BodyText"/>
      </w:pPr>
      <w:r>
        <w:t xml:space="preserve">Thank you for your business. We appreciate your trust in our electronics engineering expertise.</w:t>
      </w:r>
    </w:p>
    <w:p>
      <w:pPr>
        <w:pStyle w:val="BodyText"/>
      </w:pPr>
      <w:r>
        <w:t xml:space="preserve">Brasília Tech Engineering - Advancing Technology in the Heart of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2026-10-10T02:29:15Z</dcterms:created>
  <dcterms:modified xsi:type="dcterms:W3CDTF">2026-10-10T02:29:15Z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