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paris-tech-engineering-solutions"/>
    <w:p>
      <w:pPr>
        <w:pStyle w:val="Heading1"/>
      </w:pPr>
      <w:r>
        <w:t xml:space="preserve">Paris Tech Engineering Solutions</w:t>
      </w:r>
    </w:p>
    <w:p>
      <w:pPr>
        <w:pStyle w:val="FirstParagraph"/>
      </w:pPr>
      <w:r>
        <w:t xml:space="preserve">12 Avenue des Champs-Élysées</w:t>
      </w:r>
    </w:p>
    <w:p>
      <w:pPr>
        <w:pStyle w:val="BodyText"/>
      </w:pPr>
      <w:r>
        <w:t xml:space="preserve">75008 Paris, France</w:t>
      </w:r>
    </w:p>
    <w:p>
      <w:pPr>
        <w:pStyle w:val="BodyText"/>
      </w:pPr>
      <w:r>
        <w:t xml:space="preserve">SIRET: 123 456 789 00012 | TVA Intracommunautaire: FR 12 123456789</w:t>
      </w:r>
    </w:p>
    <w:p>
      <w:pPr>
        <w:pStyle w:val="BodyText"/>
      </w:pPr>
      <w:r>
        <w:t xml:space="preserve">Email: billing@paristecheng.fr | Phone: +33 1 42 68 00 00</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Global Systems Integration S.A.S.</w:t>
      </w:r>
    </w:p>
    <w:p>
      <w:pPr>
        <w:pStyle w:val="BodyText"/>
      </w:pPr>
      <w:r>
        <w:t xml:space="preserve">45 Rue de Rivoli</w:t>
      </w:r>
    </w:p>
    <w:p>
      <w:pPr>
        <w:pStyle w:val="BodyText"/>
      </w:pPr>
      <w:r>
        <w:t xml:space="preserve">75004 Paris, France</w:t>
      </w:r>
    </w:p>
    <w:p>
      <w:pPr>
        <w:pStyle w:val="BodyText"/>
      </w:pPr>
      <w:r>
        <w:t xml:space="preserve">Attn: Procurement Department</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INV-2023-10-045</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23, 2023 (Net 30)</w:t>
            </w:r>
          </w:p>
        </w:tc>
      </w:tr>
      <w:tr>
        <w:tc>
          <w:tcPr/>
          <w:p>
            <w:pPr>
              <w:pStyle w:val="Compact"/>
              <w:jc w:val="left"/>
            </w:pPr>
            <w:r>
              <w:t xml:space="preserve">Project Reference:</w:t>
            </w:r>
          </w:p>
        </w:tc>
        <w:tc>
          <w:tcPr/>
          <w:p>
            <w:pPr>
              <w:pStyle w:val="Compact"/>
              <w:jc w:val="left"/>
            </w:pPr>
            <w:r>
              <w:t xml:space="preserve">PARIS-ELEC-2023-A</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TVA Rate</w:t>
            </w:r>
          </w:p>
        </w:tc>
        <w:tc>
          <w:tcPr/>
          <w:p>
            <w:pPr>
              <w:pStyle w:val="Compact"/>
              <w:jc w:val="left"/>
            </w:pPr>
            <w:r>
              <w:t xml:space="preserve">Total (€)</w:t>
            </w:r>
          </w:p>
        </w:tc>
      </w:tr>
      <w:tr>
        <w:tc>
          <w:tcPr/>
          <w:p>
            <w:pPr>
              <w:pStyle w:val="Compact"/>
              <w:jc w:val="left"/>
            </w:pPr>
            <w:r>
              <w:rPr>
                <w:bCs/>
                <w:b/>
              </w:rPr>
              <w:t xml:space="preserve">Senior Electronics Engineer Consultation</w:t>
            </w:r>
            <w:r>
              <w:br/>
            </w:r>
            <w:r>
              <w:t xml:space="preserve">Comprehensive analysis of embedded systems architecture for the new IoT sensor array. This service includes requirement gathering, feasibility studies, and technical documentation tailored to French industrial standards.</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20%</w:t>
            </w:r>
          </w:p>
        </w:tc>
        <w:tc>
          <w:tcPr/>
          <w:p>
            <w:pPr>
              <w:pStyle w:val="Compact"/>
              <w:jc w:val="left"/>
            </w:pPr>
            <w:r>
              <w:t xml:space="preserve">1,500.00</w:t>
            </w:r>
          </w:p>
        </w:tc>
      </w:tr>
      <w:tr>
        <w:tc>
          <w:tcPr/>
          <w:p>
            <w:pPr>
              <w:pStyle w:val="Compact"/>
              <w:jc w:val="left"/>
            </w:pPr>
            <w:r>
              <w:rPr>
                <w:bCs/>
                <w:b/>
              </w:rPr>
              <w:t xml:space="preserve">PCB Design and Schematic Capture</w:t>
            </w:r>
            <w:r>
              <w:br/>
            </w:r>
            <w:r>
              <w:t xml:space="preserve">Design of a 4-layer Printed Circuit Board (PCB) using Altium Designer. Includes component selection, schematic capture, and layout optimization for high-frequency signal integrity. Deliverables include Gerber files and BOM.</w:t>
            </w:r>
          </w:p>
        </w:tc>
        <w:tc>
          <w:tcPr/>
          <w:p>
            <w:pPr>
              <w:pStyle w:val="Compact"/>
              <w:jc w:val="left"/>
            </w:pPr>
            <w:r>
              <w:t xml:space="preserve">1 Project</w:t>
            </w:r>
          </w:p>
        </w:tc>
        <w:tc>
          <w:tcPr/>
          <w:p>
            <w:pPr>
              <w:pStyle w:val="Compact"/>
              <w:jc w:val="left"/>
            </w:pPr>
            <w:r>
              <w:t xml:space="preserve">2,500.00</w:t>
            </w:r>
          </w:p>
        </w:tc>
        <w:tc>
          <w:tcPr/>
          <w:p>
            <w:pPr>
              <w:pStyle w:val="Compact"/>
              <w:jc w:val="left"/>
            </w:pPr>
            <w:r>
              <w:t xml:space="preserve">20%</w:t>
            </w:r>
          </w:p>
        </w:tc>
        <w:tc>
          <w:tcPr/>
          <w:p>
            <w:pPr>
              <w:pStyle w:val="Compact"/>
              <w:jc w:val="left"/>
            </w:pPr>
            <w:r>
              <w:t xml:space="preserve">2,500.00</w:t>
            </w:r>
          </w:p>
        </w:tc>
      </w:tr>
      <w:tr>
        <w:tc>
          <w:tcPr/>
          <w:p>
            <w:pPr>
              <w:pStyle w:val="Compact"/>
              <w:jc w:val="left"/>
            </w:pPr>
            <w:r>
              <w:rPr>
                <w:bCs/>
                <w:b/>
              </w:rPr>
              <w:t xml:space="preserve">Firmware Development (Embedded C)</w:t>
            </w:r>
            <w:r>
              <w:br/>
            </w:r>
            <w:r>
              <w:t xml:space="preserve">Development of low-level firmware for STM32 microcontrollers. Implementation of power management routines, I2C/SPI communication protocols, and real-time data processing algorithms.</w:t>
            </w:r>
          </w:p>
        </w:tc>
        <w:tc>
          <w:tcPr/>
          <w:p>
            <w:pPr>
              <w:pStyle w:val="Compact"/>
              <w:jc w:val="left"/>
            </w:pPr>
            <w:r>
              <w:t xml:space="preserve">20 Hours</w:t>
            </w:r>
          </w:p>
        </w:tc>
        <w:tc>
          <w:tcPr/>
          <w:p>
            <w:pPr>
              <w:pStyle w:val="Compact"/>
              <w:jc w:val="left"/>
            </w:pPr>
            <w:r>
              <w:t xml:space="preserve">160.00</w:t>
            </w:r>
          </w:p>
        </w:tc>
        <w:tc>
          <w:tcPr/>
          <w:p>
            <w:pPr>
              <w:pStyle w:val="Compact"/>
              <w:jc w:val="left"/>
            </w:pPr>
            <w:r>
              <w:t xml:space="preserve">20%</w:t>
            </w:r>
          </w:p>
        </w:tc>
        <w:tc>
          <w:tcPr/>
          <w:p>
            <w:pPr>
              <w:pStyle w:val="Compact"/>
              <w:jc w:val="left"/>
            </w:pPr>
            <w:r>
              <w:t xml:space="preserve">3,200.00</w:t>
            </w:r>
          </w:p>
        </w:tc>
      </w:tr>
      <w:tr>
        <w:tc>
          <w:tcPr/>
          <w:p>
            <w:pPr>
              <w:pStyle w:val="Compact"/>
              <w:jc w:val="left"/>
            </w:pPr>
            <w:r>
              <w:rPr>
                <w:bCs/>
                <w:b/>
              </w:rPr>
              <w:t xml:space="preserve">Hardware Testing and Validation</w:t>
            </w:r>
            <w:r>
              <w:br/>
            </w:r>
            <w:r>
              <w:t xml:space="preserve">On-site testing at the Paris laboratory facility. Includes oscilloscope analysis, thermal testing, and EMC (Electromagnetic Compatibility) pre-compliance checks to ensure adherence to CE marking requirements.</w:t>
            </w:r>
          </w:p>
        </w:tc>
        <w:tc>
          <w:tcPr/>
          <w:p>
            <w:pPr>
              <w:pStyle w:val="Compact"/>
              <w:jc w:val="left"/>
            </w:pPr>
            <w:r>
              <w:t xml:space="preserve">15 Hours</w:t>
            </w:r>
          </w:p>
        </w:tc>
        <w:tc>
          <w:tcPr/>
          <w:p>
            <w:pPr>
              <w:pStyle w:val="Compact"/>
              <w:jc w:val="left"/>
            </w:pPr>
            <w:r>
              <w:t xml:space="preserve">140.00</w:t>
            </w:r>
          </w:p>
        </w:tc>
        <w:tc>
          <w:tcPr/>
          <w:p>
            <w:pPr>
              <w:pStyle w:val="Compact"/>
              <w:jc w:val="left"/>
            </w:pPr>
            <w:r>
              <w:t xml:space="preserve">20%</w:t>
            </w:r>
          </w:p>
        </w:tc>
        <w:tc>
          <w:tcPr/>
          <w:p>
            <w:pPr>
              <w:pStyle w:val="Compact"/>
              <w:jc w:val="left"/>
            </w:pPr>
            <w:r>
              <w:t xml:space="preserve">2,100.00</w:t>
            </w:r>
          </w:p>
        </w:tc>
      </w:tr>
      <w:tr>
        <w:tc>
          <w:tcPr/>
          <w:p>
            <w:pPr>
              <w:pStyle w:val="Compact"/>
              <w:jc w:val="left"/>
            </w:pPr>
            <w:r>
              <w:rPr>
                <w:bCs/>
                <w:b/>
              </w:rPr>
              <w:t xml:space="preserve">Technical Documentation &amp; Reporting</w:t>
            </w:r>
            <w:r>
              <w:br/>
            </w:r>
            <w:r>
              <w:t xml:space="preserve">Preparation of detailed engineering reports, user manuals, and maintenance guides in English and French. Documentation covers circuit operation, troubleshooting procedures, and safety guidelines.</w:t>
            </w:r>
          </w:p>
        </w:tc>
        <w:tc>
          <w:tcPr/>
          <w:p>
            <w:pPr>
              <w:pStyle w:val="Compact"/>
              <w:jc w:val="left"/>
            </w:pPr>
            <w:r>
              <w:t xml:space="preserve">5 Hours</w:t>
            </w:r>
          </w:p>
        </w:tc>
        <w:tc>
          <w:tcPr/>
          <w:p>
            <w:pPr>
              <w:pStyle w:val="Compact"/>
              <w:jc w:val="left"/>
            </w:pPr>
            <w:r>
              <w:t xml:space="preserve">120.00</w:t>
            </w:r>
          </w:p>
        </w:tc>
        <w:tc>
          <w:tcPr/>
          <w:p>
            <w:pPr>
              <w:pStyle w:val="Compact"/>
              <w:jc w:val="left"/>
            </w:pPr>
            <w:r>
              <w:t xml:space="preserve">20%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9,900.00 €</w:t>
            </w:r>
          </w:p>
        </w:tc>
      </w:tr>
      <w:tr>
        <w:tc>
          <w:tcPr/>
          <w:p>
            <w:pPr>
              <w:pStyle w:val="Compact"/>
              <w:jc w:val="left"/>
            </w:pPr>
            <w:r>
              <w:t xml:space="preserve">TVA (20%):</w:t>
            </w:r>
          </w:p>
        </w:tc>
        <w:tc>
          <w:tcPr/>
          <w:p>
            <w:pPr>
              <w:pStyle w:val="Compact"/>
              <w:jc w:val="left"/>
            </w:pPr>
            <w:r>
              <w:t xml:space="preserve">1,980.00 €</w:t>
            </w:r>
          </w:p>
        </w:tc>
      </w:tr>
      <w:tr>
        <w:tc>
          <w:tcPr/>
          <w:p>
            <w:pPr>
              <w:pStyle w:val="Compact"/>
              <w:jc w:val="left"/>
            </w:pPr>
            <w:r>
              <w:t xml:space="preserve">Total Amount Due (TTC):</w:t>
            </w:r>
          </w:p>
        </w:tc>
        <w:tc>
          <w:tcPr/>
          <w:p>
            <w:pPr>
              <w:pStyle w:val="Compact"/>
              <w:jc w:val="left"/>
            </w:pPr>
            <w:r>
              <w:t xml:space="preserve">11,880.00 €</w:t>
            </w:r>
          </w:p>
        </w:tc>
      </w:tr>
    </w:tbl>
    <w:bookmarkStart w:id="24" w:name="payment-instructions"/>
    <w:p>
      <w:pPr>
        <w:pStyle w:val="Heading4"/>
      </w:pPr>
      <w:r>
        <w:t xml:space="preserve">Payment Instructions</w:t>
      </w:r>
    </w:p>
    <w:p>
      <w:pPr>
        <w:pStyle w:val="FirstParagraph"/>
      </w:pPr>
      <w:r>
        <w:t xml:space="preserve">Please make payment via bank transfer within 30 days of the invoice date. Late payments may incur interest charges in accordance with French commercial law (Article L.441-6 of the Commercial Code).</w:t>
      </w:r>
    </w:p>
    <w:p>
      <w:pPr>
        <w:pStyle w:val="BodyText"/>
      </w:pPr>
      <w:r>
        <w:rPr>
          <w:bCs/>
          <w:b/>
        </w:rPr>
        <w:t xml:space="preserve">Bank Name:</w:t>
      </w:r>
      <w:r>
        <w:t xml:space="preserve"> </w:t>
      </w:r>
      <w:r>
        <w:t xml:space="preserve">BNP Paribas</w:t>
      </w:r>
      <w:r>
        <w:br/>
      </w:r>
      <w:r>
        <w:rPr>
          <w:bCs/>
          <w:b/>
        </w:rPr>
        <w:t xml:space="preserve">Account Holder:</w:t>
      </w:r>
      <w:r>
        <w:t xml:space="preserve"> </w:t>
      </w:r>
      <w:r>
        <w:t xml:space="preserve">Paris Tech Engineering Solutions</w:t>
      </w:r>
      <w:r>
        <w:br/>
      </w:r>
      <w:r>
        <w:rPr>
          <w:bCs/>
          <w:b/>
        </w:rPr>
        <w:t xml:space="preserve">IBAN:</w:t>
      </w:r>
      <w:r>
        <w:t xml:space="preserve"> </w:t>
      </w:r>
      <w:r>
        <w:t xml:space="preserve">FR76 3000 6000 0112 3456 7890 189</w:t>
      </w:r>
      <w:r>
        <w:br/>
      </w:r>
      <w:r>
        <w:rPr>
          <w:bCs/>
          <w:b/>
        </w:rPr>
        <w:t xml:space="preserve">BIC:</w:t>
      </w:r>
      <w:r>
        <w:t xml:space="preserve"> </w:t>
      </w:r>
      <w:r>
        <w:t xml:space="preserve">BNPAFRPP</w:t>
      </w:r>
      <w:r>
        <w:br/>
      </w: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pStyle w:val="FirstParagraph"/>
      </w:pPr>
      <w:r>
        <w:t xml:space="preserve">1. All services provided by our Electronics Engineers are subject to the general terms of business of Paris Tech Engineering Solutions.</w:t>
      </w:r>
      <w:r>
        <w:br/>
      </w:r>
      <w:r>
        <w:t xml:space="preserve">2. Intellectual property rights for designs and code transfer to the client upon full payment of this invoice.</w:t>
      </w:r>
      <w:r>
        <w:br/>
      </w:r>
      <w:r>
        <w:t xml:space="preserve">3. This invoice is issued in compliance with the French Tax Code (Code Général des Impôts).</w:t>
      </w:r>
      <w:r>
        <w:br/>
      </w:r>
      <w:r>
        <w:t xml:space="preserve">4. Any disputes arising from this contract shall be subject to the jurisdiction of the Tribunal de Commerce de Paris.</w:t>
      </w:r>
    </w:p>
    <w:p>
      <w:pPr>
        <w:pStyle w:val="BodyText"/>
      </w:pPr>
      <w:r>
        <w:t xml:space="preserve">This document serves as a formal request for payment for professional engineering services rendered in Paris, France. The scope of work included advanced electronics engineering tasks such as circuit design, embedded systems programming, and hardware validation. The rates charged reflect the specialized expertise required for high-precision electronic systems development in the French market. By accepting this invoice, the client acknowledges receipt of the deliverables and agrees to the payment terms outlined above. Paris Tech Engineering Solutions is committed to providing top-tier technical support and engineering excellence to clients throughout France and the European Union.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2026-10-10T06:51:53Z</dcterms:created>
  <dcterms:modified xsi:type="dcterms:W3CDTF">2026-10-10T06:51:53Z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