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Electronics</w:t>
      </w:r>
      <w:r>
        <w:t xml:space="preserve"> </w:t>
      </w:r>
      <w:r>
        <w:t xml:space="preserve">Engineering</w:t>
      </w:r>
      <w:r>
        <w:t xml:space="preserve"> </w:t>
      </w:r>
      <w:r>
        <w:t xml:space="preserve">Services</w:t>
      </w:r>
    </w:p>
    <w:bookmarkStart w:id="20" w:name="frankfurt-circuit-solutions-gmbh"/>
    <w:p>
      <w:pPr>
        <w:pStyle w:val="Heading1"/>
      </w:pPr>
      <w:r>
        <w:t xml:space="preserve">Frankfurt Circuit Solutions GmbH</w:t>
      </w:r>
    </w:p>
    <w:p>
      <w:pPr>
        <w:pStyle w:val="FirstParagraph"/>
      </w:pPr>
      <w:r>
        <w:t xml:space="preserve">Max Mustermann, Lead Electronics Engineer</w:t>
      </w:r>
    </w:p>
    <w:p>
      <w:pPr>
        <w:pStyle w:val="BodyText"/>
      </w:pPr>
      <w:r>
        <w:t xml:space="preserve">Mainzer Landstraße 100</w:t>
      </w:r>
    </w:p>
    <w:p>
      <w:pPr>
        <w:pStyle w:val="BodyText"/>
      </w:pPr>
      <w:r>
        <w:t xml:space="preserve">60325 Frankfurt am Main, Germany</w:t>
      </w:r>
    </w:p>
    <w:p>
      <w:pPr>
        <w:pStyle w:val="BodyText"/>
      </w:pPr>
      <w:r>
        <w:t xml:space="preserve">Email: billing@frankfurt-circuit.de</w:t>
      </w:r>
    </w:p>
    <w:p>
      <w:pPr>
        <w:pStyle w:val="BodyText"/>
      </w:pPr>
      <w:r>
        <w:t xml:space="preserve">Phone: +49 69 12345678</w:t>
      </w:r>
    </w:p>
    <w:p>
      <w:pPr>
        <w:pStyle w:val="BodyText"/>
      </w:pPr>
      <w:r>
        <w:t xml:space="preserve">USt-IdNr.: DE123456789</w:t>
      </w:r>
    </w:p>
    <w:bookmarkEnd w:id="20"/>
    <w:bookmarkStart w:id="21" w:name="invoice"/>
    <w:p>
      <w:pPr>
        <w:pStyle w:val="Heading2"/>
      </w:pPr>
      <w:r>
        <w:t xml:space="preserve">INVOICE</w:t>
      </w:r>
    </w:p>
    <w:p>
      <w:pPr>
        <w:pStyle w:val="FirstParagraph"/>
      </w:pPr>
      <w:r>
        <w:t xml:space="preserve">Professional Engineering Services</w:t>
      </w:r>
    </w:p>
    <w:bookmarkEnd w:id="21"/>
    <w:bookmarkStart w:id="22" w:name="bill-to"/>
    <w:p>
      <w:pPr>
        <w:pStyle w:val="Heading3"/>
      </w:pPr>
      <w:r>
        <w:t xml:space="preserve">Bill To:</w:t>
      </w:r>
    </w:p>
    <w:p>
      <w:pPr>
        <w:pStyle w:val="FirstParagraph"/>
      </w:pPr>
      <w:r>
        <w:rPr>
          <w:bCs/>
          <w:b/>
        </w:rPr>
        <w:t xml:space="preserve">Global Tech Innovations AG</w:t>
      </w:r>
    </w:p>
    <w:p>
      <w:pPr>
        <w:pStyle w:val="BodyText"/>
      </w:pPr>
      <w:r>
        <w:t xml:space="preserve">Attn: Procurement Department</w:t>
      </w:r>
    </w:p>
    <w:p>
      <w:pPr>
        <w:pStyle w:val="BodyText"/>
      </w:pPr>
      <w:r>
        <w:t xml:space="preserve">Bockenheimer Landstraße 50</w:t>
      </w:r>
    </w:p>
    <w:p>
      <w:pPr>
        <w:pStyle w:val="BodyText"/>
      </w:pPr>
      <w:r>
        <w:t xml:space="preserve">60323 Frankfurt am Main, Germany</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INV-2023-10-042</w:t>
            </w:r>
          </w:p>
        </w:tc>
      </w:tr>
      <w:tr>
        <w:tc>
          <w:tcPr/>
          <w:p>
            <w:pPr>
              <w:pStyle w:val="Compact"/>
              <w:jc w:val="left"/>
            </w:pPr>
            <w:r>
              <w:t xml:space="preserve">Date of Issue:</w:t>
            </w:r>
          </w:p>
        </w:tc>
        <w:tc>
          <w:tcPr/>
          <w:p>
            <w:pPr>
              <w:pStyle w:val="Compact"/>
              <w:jc w:val="left"/>
            </w:pPr>
            <w:r>
              <w:t xml:space="preserve">October 24, 2023</w:t>
            </w:r>
          </w:p>
        </w:tc>
      </w:tr>
      <w:tr>
        <w:tc>
          <w:tcPr/>
          <w:p>
            <w:pPr>
              <w:pStyle w:val="Compact"/>
              <w:jc w:val="left"/>
            </w:pPr>
            <w:r>
              <w:t xml:space="preserve">Due Date:</w:t>
            </w:r>
          </w:p>
        </w:tc>
        <w:tc>
          <w:tcPr/>
          <w:p>
            <w:pPr>
              <w:pStyle w:val="Compact"/>
              <w:jc w:val="left"/>
            </w:pPr>
            <w:r>
              <w:t xml:space="preserve">November 23, 2023</w:t>
            </w:r>
          </w:p>
        </w:tc>
      </w:tr>
      <w:tr>
        <w:tc>
          <w:tcPr/>
          <w:p>
            <w:pPr>
              <w:pStyle w:val="Compact"/>
              <w:jc w:val="left"/>
            </w:pPr>
            <w:r>
              <w:t xml:space="preserve">Project Reference:</w:t>
            </w:r>
          </w:p>
        </w:tc>
        <w:tc>
          <w:tcPr/>
          <w:p>
            <w:pPr>
              <w:pStyle w:val="Compact"/>
              <w:jc w:val="left"/>
            </w:pPr>
            <w:r>
              <w:t xml:space="preserve">FTX-900 PCB Design</w:t>
            </w:r>
          </w:p>
        </w:tc>
      </w:tr>
    </w:tbl>
    <w:bookmarkStart w:id="23" w:name="X33f89644035533345f17c34368e6bcd97d14b27"/>
    <w:p>
      <w:pPr>
        <w:pStyle w:val="Heading3"/>
      </w:pPr>
      <w:r>
        <w:t xml:space="preserve">Project Scope: Advanced PCB Design and Validation</w:t>
      </w:r>
    </w:p>
    <w:p>
      <w:pPr>
        <w:pStyle w:val="FirstParagraph"/>
      </w:pPr>
      <w:r>
        <w:t xml:space="preserve">This invoice covers the comprehensive electronics engineering services provided by our team in Frankfurt am Main for the development of the FTX-900 Industrial Control Module. The scope included schematic capture, high-speed PCB layout, signal integrity analysis, and component selection optimization. As a specialized Electronics Engineer operating within the German regulatory framework, all designs adhere to DIN EN standards and CE marking requirements. The work was executed at our Frankfurt headquarters, ensuring close collaboration with your engineering team throughout the design cycle.</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Net Amount (EUR)</w:t>
            </w:r>
          </w:p>
        </w:tc>
        <w:tc>
          <w:tcPr/>
          <w:p>
            <w:pPr>
              <w:pStyle w:val="Compact"/>
              <w:jc w:val="left"/>
            </w:pPr>
            <w:r>
              <w:t xml:space="preserve">VAT (19%)</w:t>
            </w:r>
          </w:p>
        </w:tc>
      </w:tr>
      <w:tr>
        <w:tc>
          <w:tcPr/>
          <w:p>
            <w:pPr>
              <w:pStyle w:val="Compact"/>
              <w:jc w:val="left"/>
            </w:pPr>
            <w:r>
              <w:rPr>
                <w:bCs/>
                <w:b/>
              </w:rPr>
              <w:t xml:space="preserve">Schematic Design &amp; Architecture</w:t>
            </w:r>
            <w:r>
              <w:br/>
            </w:r>
            <w:r>
              <w:t xml:space="preserve">Creation of complex multi-layer schematics for the FTX-900 module, including power management and communication interfaces.</w:t>
            </w:r>
          </w:p>
        </w:tc>
        <w:tc>
          <w:tcPr/>
          <w:p>
            <w:pPr>
              <w:pStyle w:val="Compact"/>
              <w:jc w:val="left"/>
            </w:pPr>
            <w:r>
              <w:t xml:space="preserve">40 Hours</w:t>
            </w:r>
          </w:p>
        </w:tc>
        <w:tc>
          <w:tcPr/>
          <w:p>
            <w:pPr>
              <w:pStyle w:val="Compact"/>
              <w:jc w:val="left"/>
            </w:pPr>
            <w:r>
              <w:t xml:space="preserve">120.00</w:t>
            </w:r>
          </w:p>
        </w:tc>
        <w:tc>
          <w:tcPr/>
          <w:p>
            <w:pPr>
              <w:pStyle w:val="Compact"/>
              <w:jc w:val="left"/>
            </w:pPr>
            <w:r>
              <w:t xml:space="preserve">4,800.00</w:t>
            </w:r>
          </w:p>
        </w:tc>
        <w:tc>
          <w:tcPr/>
          <w:p>
            <w:pPr>
              <w:pStyle w:val="Compact"/>
              <w:jc w:val="left"/>
            </w:pPr>
            <w:r>
              <w:t xml:space="preserve">912.00</w:t>
            </w:r>
          </w:p>
        </w:tc>
      </w:tr>
      <w:tr>
        <w:tc>
          <w:tcPr/>
          <w:p>
            <w:pPr>
              <w:pStyle w:val="Compact"/>
              <w:jc w:val="left"/>
            </w:pPr>
            <w:r>
              <w:rPr>
                <w:bCs/>
                <w:b/>
              </w:rPr>
              <w:t xml:space="preserve">PCB Layout &amp; Routing</w:t>
            </w:r>
            <w:r>
              <w:br/>
            </w:r>
            <w:r>
              <w:t xml:space="preserve">High-density interconnect (HDI) layout design, impedance control, and thermal management optimization.</w:t>
            </w:r>
          </w:p>
        </w:tc>
        <w:tc>
          <w:tcPr/>
          <w:p>
            <w:pPr>
              <w:pStyle w:val="Compact"/>
              <w:jc w:val="left"/>
            </w:pPr>
            <w:r>
              <w:t xml:space="preserve">60 Hours</w:t>
            </w:r>
          </w:p>
        </w:tc>
        <w:tc>
          <w:tcPr/>
          <w:p>
            <w:pPr>
              <w:pStyle w:val="Compact"/>
              <w:jc w:val="left"/>
            </w:pPr>
            <w:r>
              <w:t xml:space="preserve">120.00</w:t>
            </w:r>
          </w:p>
        </w:tc>
        <w:tc>
          <w:tcPr/>
          <w:p>
            <w:pPr>
              <w:pStyle w:val="Compact"/>
              <w:jc w:val="left"/>
            </w:pPr>
            <w:r>
              <w:t xml:space="preserve">7,200.00</w:t>
            </w:r>
          </w:p>
        </w:tc>
        <w:tc>
          <w:tcPr/>
          <w:p>
            <w:pPr>
              <w:pStyle w:val="Compact"/>
              <w:jc w:val="left"/>
            </w:pPr>
            <w:r>
              <w:t xml:space="preserve">1,368.00</w:t>
            </w:r>
          </w:p>
        </w:tc>
      </w:tr>
      <w:tr>
        <w:tc>
          <w:tcPr/>
          <w:p>
            <w:pPr>
              <w:pStyle w:val="Compact"/>
              <w:jc w:val="left"/>
            </w:pPr>
            <w:r>
              <w:rPr>
                <w:bCs/>
                <w:b/>
              </w:rPr>
              <w:t xml:space="preserve">Signal Integrity Simulation</w:t>
            </w:r>
            <w:r>
              <w:br/>
            </w:r>
            <w:r>
              <w:t xml:space="preserve">Pre-layout and post-layout simulation to ensure data integrity for high-speed differential pairs.</w:t>
            </w:r>
          </w:p>
        </w:tc>
        <w:tc>
          <w:tcPr/>
          <w:p>
            <w:pPr>
              <w:pStyle w:val="Compact"/>
              <w:jc w:val="left"/>
            </w:pPr>
            <w:r>
              <w:t xml:space="preserve">20 Hours</w:t>
            </w:r>
          </w:p>
        </w:tc>
        <w:tc>
          <w:tcPr/>
          <w:p>
            <w:pPr>
              <w:pStyle w:val="Compact"/>
              <w:jc w:val="left"/>
            </w:pPr>
            <w:r>
              <w:t xml:space="preserve">130.00</w:t>
            </w:r>
          </w:p>
        </w:tc>
        <w:tc>
          <w:tcPr/>
          <w:p>
            <w:pPr>
              <w:pStyle w:val="Compact"/>
              <w:jc w:val="left"/>
            </w:pPr>
            <w:r>
              <w:t xml:space="preserve">2,600.00</w:t>
            </w:r>
          </w:p>
        </w:tc>
        <w:tc>
          <w:tcPr/>
          <w:p>
            <w:pPr>
              <w:pStyle w:val="Compact"/>
              <w:jc w:val="left"/>
            </w:pPr>
            <w:r>
              <w:t xml:space="preserve">494.00</w:t>
            </w:r>
          </w:p>
        </w:tc>
      </w:tr>
      <w:tr>
        <w:tc>
          <w:tcPr/>
          <w:p>
            <w:pPr>
              <w:pStyle w:val="Compact"/>
              <w:jc w:val="left"/>
            </w:pPr>
            <w:r>
              <w:rPr>
                <w:bCs/>
                <w:b/>
              </w:rPr>
              <w:t xml:space="preserve">Component Sourcing &amp; BOM Optimization</w:t>
            </w:r>
            <w:r>
              <w:br/>
            </w:r>
            <w:r>
              <w:t xml:space="preserve">Selection of components available in the DACH region to minimize supply chain risks.</w:t>
            </w:r>
          </w:p>
        </w:tc>
        <w:tc>
          <w:tcPr/>
          <w:p>
            <w:pPr>
              <w:pStyle w:val="Compact"/>
              <w:jc w:val="left"/>
            </w:pPr>
            <w:r>
              <w:t xml:space="preserve">15 Hours</w:t>
            </w:r>
          </w:p>
        </w:tc>
        <w:tc>
          <w:tcPr/>
          <w:p>
            <w:pPr>
              <w:pStyle w:val="Compact"/>
              <w:jc w:val="left"/>
            </w:pPr>
            <w:r>
              <w:t xml:space="preserve">110.00</w:t>
            </w:r>
          </w:p>
        </w:tc>
        <w:tc>
          <w:tcPr/>
          <w:p>
            <w:pPr>
              <w:pStyle w:val="Compact"/>
              <w:jc w:val="left"/>
            </w:pPr>
            <w:r>
              <w:t xml:space="preserve">1,650.00</w:t>
            </w:r>
          </w:p>
        </w:tc>
        <w:tc>
          <w:tcPr/>
          <w:p>
            <w:pPr>
              <w:pStyle w:val="Compact"/>
              <w:jc w:val="left"/>
            </w:pPr>
            <w:r>
              <w:t xml:space="preserve">313.50</w:t>
            </w:r>
          </w:p>
        </w:tc>
      </w:tr>
      <w:tr>
        <w:tc>
          <w:tcPr/>
          <w:p>
            <w:pPr>
              <w:pStyle w:val="Compact"/>
              <w:jc w:val="left"/>
            </w:pPr>
            <w:r>
              <w:rPr>
                <w:bCs/>
                <w:b/>
              </w:rPr>
              <w:t xml:space="preserve">Design Review &amp; Documentation</w:t>
            </w:r>
            <w:r>
              <w:br/>
            </w:r>
            <w:r>
              <w:t xml:space="preserve">Final review meetings in Frankfurt and preparation of manufacturing documentation.</w:t>
            </w:r>
          </w:p>
        </w:tc>
        <w:tc>
          <w:tcPr/>
          <w:p>
            <w:pPr>
              <w:pStyle w:val="Compact"/>
              <w:jc w:val="left"/>
            </w:pPr>
            <w:r>
              <w:t xml:space="preserve">10 Hours</w:t>
            </w:r>
          </w:p>
        </w:tc>
        <w:tc>
          <w:tcPr/>
          <w:p>
            <w:pPr>
              <w:pStyle w:val="Compact"/>
              <w:jc w:val="left"/>
            </w:pPr>
            <w:r>
              <w:t xml:space="preserve">120.00</w:t>
            </w:r>
          </w:p>
        </w:tc>
        <w:tc>
          <w:tcPr/>
          <w:p>
            <w:pPr>
              <w:pStyle w:val="Compact"/>
              <w:jc w:val="left"/>
            </w:pPr>
            <w:r>
              <w:t xml:space="preserve">1,200.00</w:t>
            </w:r>
          </w:p>
        </w:tc>
        <w:tc>
          <w:tcPr/>
          <w:p>
            <w:pPr>
              <w:pStyle w:val="Compact"/>
              <w:jc w:val="left"/>
            </w:pPr>
            <w:r>
              <w:t xml:space="preserve">228.00</w:t>
            </w:r>
          </w:p>
        </w:tc>
      </w:tr>
    </w:tbl>
    <w:p>
      <w:pPr>
        <w:pStyle w:val="BodyText"/>
      </w:pPr>
      <w:r>
        <w:t xml:space="preserve">Subtotal (Net):</w:t>
      </w:r>
      <w:r>
        <w:t xml:space="preserve"> </w:t>
      </w:r>
      <w:r>
        <w:t xml:space="preserve">17,450.00 EUR</w:t>
      </w:r>
    </w:p>
    <w:p>
      <w:pPr>
        <w:pStyle w:val="BodyText"/>
      </w:pPr>
      <w:r>
        <w:t xml:space="preserve">VAT (19%):</w:t>
      </w:r>
      <w:r>
        <w:t xml:space="preserve"> </w:t>
      </w:r>
      <w:r>
        <w:t xml:space="preserve">3,315.50 EUR</w:t>
      </w:r>
    </w:p>
    <w:p>
      <w:pPr>
        <w:pStyle w:val="BodyText"/>
      </w:pPr>
      <w:r>
        <w:t xml:space="preserve">Total Amount Due:</w:t>
      </w:r>
      <w:r>
        <w:t xml:space="preserve"> </w:t>
      </w:r>
      <w:r>
        <w:t xml:space="preserve">20,765.50 EUR</w:t>
      </w:r>
    </w:p>
    <w:bookmarkStart w:id="24" w:name="payment-instructions"/>
    <w:p>
      <w:pPr>
        <w:pStyle w:val="Heading3"/>
      </w:pPr>
      <w:r>
        <w:t xml:space="preserve">Payment Instructions</w:t>
      </w:r>
    </w:p>
    <w:p>
      <w:pPr>
        <w:pStyle w:val="FirstParagraph"/>
      </w:pPr>
      <w:r>
        <w:t xml:space="preserve">Please transfer the total amount to the following bank account within 30 days of the invoice date.</w:t>
      </w:r>
    </w:p>
    <w:p>
      <w:pPr>
        <w:pStyle w:val="BodyText"/>
      </w:pPr>
      <w:r>
        <w:rPr>
          <w:bCs/>
          <w:b/>
        </w:rPr>
        <w:t xml:space="preserve">Bank Name:</w:t>
      </w:r>
      <w:r>
        <w:t xml:space="preserve"> </w:t>
      </w:r>
      <w:r>
        <w:t xml:space="preserve">Commerzbank AG</w:t>
      </w:r>
    </w:p>
    <w:p>
      <w:pPr>
        <w:pStyle w:val="BodyText"/>
      </w:pPr>
      <w:r>
        <w:rPr>
          <w:bCs/>
          <w:b/>
        </w:rPr>
        <w:t xml:space="preserve">IBAN:</w:t>
      </w:r>
      <w:r>
        <w:t xml:space="preserve"> </w:t>
      </w:r>
      <w:r>
        <w:t xml:space="preserve">DE89 5004 0000 0000 1234 56</w:t>
      </w:r>
    </w:p>
    <w:p>
      <w:pPr>
        <w:pStyle w:val="BodyText"/>
      </w:pPr>
      <w:r>
        <w:rPr>
          <w:bCs/>
          <w:b/>
        </w:rPr>
        <w:t xml:space="preserve">BIC:</w:t>
      </w:r>
      <w:r>
        <w:t xml:space="preserve"> </w:t>
      </w:r>
      <w:r>
        <w:t xml:space="preserve">COBADEFFXXX</w:t>
      </w:r>
    </w:p>
    <w:p>
      <w:pPr>
        <w:pStyle w:val="BodyText"/>
      </w:pPr>
      <w:r>
        <w:rPr>
          <w:bCs/>
          <w:b/>
        </w:rPr>
        <w:t xml:space="preserve">Reference:</w:t>
      </w:r>
      <w:r>
        <w:t xml:space="preserve"> </w:t>
      </w:r>
      <w:r>
        <w:t xml:space="preserve">INV-2023-10-042</w:t>
      </w:r>
    </w:p>
    <w:p>
      <w:pPr>
        <w:pStyle w:val="BodyText"/>
      </w:pPr>
      <w:r>
        <w:t xml:space="preserve">Note: As a business entity based in Germany Frankfurt, VAT is applied according to current German tax laws. For international clients outside the EU, VAT may be exempt under reverse charge mechanisms.</w:t>
      </w:r>
    </w:p>
    <w:bookmarkEnd w:id="24"/>
    <w:p>
      <w:pPr>
        <w:pStyle w:val="BodyText"/>
      </w:pPr>
      <w:r>
        <w:rPr>
          <w:bCs/>
          <w:b/>
        </w:rPr>
        <w:t xml:space="preserve">Terms and Conditions:</w:t>
      </w:r>
      <w:r>
        <w:t xml:space="preserve"> </w:t>
      </w:r>
      <w:r>
        <w:t xml:space="preserve">This invoice represents the final settlement for the electronics engineering services rendered as described above. Payment is due within 30 days of the invoice date. In the event of late payment, statutory interest rates applicable in Germany will be charged. All intellectual property rights regarding the specific designs created for this project will be transferred to the client upon full payment of this invoice. The Electronics Engineer warrants that all work has been performed in accordance with industry standards and professional ethics. Any disputes arising from this invoice shall be subject to the jurisdiction of the courts in Frankfurt am Main, Germany. This document serves as a formal request for payment and a record of the professional services provided by Frankfurt Circuit Solutions GmbH. We appreciate your business and look forward to continuing our successful collaboration in the field of advanced electronics engineering.</w:t>
      </w:r>
    </w:p>
    <w:p>
      <w:pPr>
        <w:pStyle w:val="BodyText"/>
      </w:pPr>
      <w:r>
        <w:t xml:space="preserve">Authorized Signature</w:t>
      </w:r>
    </w:p>
    <w:p>
      <w:pPr>
        <w:pStyle w:val="BodyText"/>
      </w:pPr>
      <w:r>
        <w:t xml:space="preserve">Max Mustermann</w:t>
      </w:r>
    </w:p>
    <w:p>
      <w:pPr>
        <w:pStyle w:val="BodyText"/>
      </w:pPr>
      <w:r>
        <w:t xml:space="preserve">Lead Electronics Engineer</w:t>
      </w:r>
    </w:p>
    <w:p>
      <w:pPr>
        <w:pStyle w:val="BodyText"/>
      </w:pPr>
      <w:r>
        <w:t xml:space="preserve">Date of Signature</w:t>
      </w:r>
    </w:p>
    <w:p>
      <w:pPr>
        <w:pStyle w:val="BodyText"/>
      </w:pPr>
      <w:r>
        <w:t xml:space="preserve">October 24, 2023</w:t>
      </w:r>
    </w:p>
    <w:p>
      <w:pPr>
        <w:pStyle w:val="BodyText"/>
      </w:pPr>
      <w:r>
        <w:t xml:space="preserve">Frankfurt am Main,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Electronics Engineering Services</dc:title>
  <dc:creator/>
  <dc:language>en</dc:language>
  <cp:keywords/>
  <dcterms:created xsi:type="dcterms:W3CDTF">2026-10-10T03:04:59Z</dcterms:created>
  <dcterms:modified xsi:type="dcterms:W3CDTF">2026-10-10T03:04:59Z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