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Engineering</w:t>
      </w:r>
      <w:r>
        <w:t xml:space="preserve"> </w:t>
      </w:r>
      <w:r>
        <w:t xml:space="preserve">Services</w:t>
      </w:r>
    </w:p>
    <w:bookmarkStart w:id="20" w:name="persian-circuit-solutions"/>
    <w:p>
      <w:pPr>
        <w:pStyle w:val="Heading1"/>
      </w:pPr>
      <w:r>
        <w:t xml:space="preserve">Persian Circuit Solutions</w:t>
      </w:r>
    </w:p>
    <w:p>
      <w:pPr>
        <w:pStyle w:val="FirstParagraph"/>
      </w:pPr>
      <w:r>
        <w:t xml:space="preserve">Professional Electronics Engineering Services</w:t>
      </w:r>
    </w:p>
    <w:p>
      <w:pPr>
        <w:pStyle w:val="BodyText"/>
      </w:pPr>
      <w:r>
        <w:t xml:space="preserve">No. 42, Valiasr Street, Zone 1</w:t>
      </w:r>
    </w:p>
    <w:p>
      <w:pPr>
        <w:pStyle w:val="BodyText"/>
      </w:pPr>
      <w:r>
        <w:t xml:space="preserve">Tehran, Iran</w:t>
      </w:r>
    </w:p>
    <w:p>
      <w:pPr>
        <w:pStyle w:val="BodyText"/>
      </w:pPr>
      <w:r>
        <w:t xml:space="preserve">Tel: +98 21 8877 6655</w:t>
      </w:r>
    </w:p>
    <w:p>
      <w:pPr>
        <w:pStyle w:val="BodyText"/>
      </w:pPr>
      <w:r>
        <w:t xml:space="preserve">Email: billing@persiancircuit.ir</w:t>
      </w:r>
    </w:p>
    <w:p>
      <w:pPr>
        <w:pStyle w:val="BodyText"/>
      </w:pPr>
      <w:r>
        <w:t xml:space="preserve">Tax ID: 10101234567</w:t>
      </w:r>
    </w:p>
    <w:bookmarkEnd w:id="20"/>
    <w:bookmarkStart w:id="21" w:name="invoice"/>
    <w:p>
      <w:pPr>
        <w:pStyle w:val="Heading2"/>
      </w:pPr>
      <w:r>
        <w:t xml:space="preserve">INVOICE</w:t>
      </w:r>
    </w:p>
    <w:p>
      <w:pPr>
        <w:pStyle w:val="FirstParagraph"/>
      </w:pPr>
      <w:r>
        <w:t xml:space="preserve">Official Payment Request</w:t>
      </w:r>
    </w:p>
    <w:bookmarkEnd w:id="21"/>
    <w:p>
      <w:pPr>
        <w:pStyle w:val="BodyText"/>
      </w:pPr>
      <w:r>
        <w:rPr>
          <w:bCs/>
          <w:b/>
        </w:rPr>
        <w:t xml:space="preserve">Billed To:</w:t>
      </w:r>
      <w:r>
        <w:br/>
      </w:r>
    </w:p>
    <w:p>
      <w:pPr>
        <w:pStyle w:val="BodyText"/>
      </w:pPr>
      <w:r>
        <w:t xml:space="preserve">Advanced Manufacturing Industries Co.</w:t>
      </w:r>
      <w:r>
        <w:br/>
      </w:r>
      <w:r>
        <w:t xml:space="preserve">Attn: Procurement Department</w:t>
      </w:r>
      <w:r>
        <w:br/>
      </w:r>
      <w:r>
        <w:t xml:space="preserve">No. 15, Shariati Avenue, Zone 6</w:t>
      </w:r>
      <w:r>
        <w:br/>
      </w:r>
      <w:r>
        <w:t xml:space="preserve">Tehran, Iran</w:t>
      </w:r>
      <w:r>
        <w:br/>
      </w:r>
      <w:r>
        <w:t xml:space="preserve">Contact: Mr. Ali Rezaei</w:t>
      </w:r>
      <w:r>
        <w:br/>
      </w:r>
      <w:r>
        <w:t xml:space="preserve">Phone: +98 21 2233 4455</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15, 2024</w:t>
            </w:r>
          </w:p>
        </w:tc>
      </w:tr>
      <w:tr>
        <w:tc>
          <w:tcPr/>
          <w:p>
            <w:pPr>
              <w:pStyle w:val="Compact"/>
              <w:jc w:val="left"/>
            </w:pPr>
            <w:r>
              <w:t xml:space="preserve">Project Reference:</w:t>
            </w:r>
          </w:p>
        </w:tc>
        <w:tc>
          <w:tcPr/>
          <w:p>
            <w:pPr>
              <w:pStyle w:val="Compact"/>
              <w:jc w:val="left"/>
            </w:pPr>
            <w:r>
              <w:t xml:space="preserve">PCB Design &amp; Firmware Integration</w:t>
            </w:r>
          </w:p>
        </w:tc>
      </w:tr>
    </w:tbl>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Electronics Engineering Services</w:t>
            </w:r>
          </w:p>
        </w:tc>
        <w:tc>
          <w:tcPr/>
          <w:p>
            <w:pPr>
              <w:pStyle w:val="Compact"/>
              <w:jc w:val="left"/>
            </w:pPr>
            <w:r>
              <w:t xml:space="preserve">Hours/Qty</w:t>
            </w:r>
          </w:p>
        </w:tc>
        <w:tc>
          <w:tcPr/>
          <w:p>
            <w:pPr>
              <w:pStyle w:val="Compact"/>
              <w:jc w:val="left"/>
            </w:pPr>
            <w:r>
              <w:t xml:space="preserve">Rate (IRR)</w:t>
            </w:r>
          </w:p>
        </w:tc>
        <w:tc>
          <w:tcPr/>
          <w:p>
            <w:pPr>
              <w:pStyle w:val="Compact"/>
              <w:jc w:val="left"/>
            </w:pPr>
            <w:r>
              <w:t xml:space="preserve">Amount (IRR)</w:t>
            </w:r>
          </w:p>
        </w:tc>
      </w:tr>
      <w:tr>
        <w:tc>
          <w:tcPr/>
          <w:p>
            <w:pPr>
              <w:pStyle w:val="Compact"/>
              <w:jc w:val="left"/>
            </w:pPr>
            <w:r>
              <w:t xml:space="preserve">1</w:t>
            </w:r>
          </w:p>
        </w:tc>
        <w:tc>
          <w:tcPr/>
          <w:p>
            <w:pPr>
              <w:pStyle w:val="Compact"/>
              <w:jc w:val="left"/>
            </w:pPr>
            <w:r>
              <w:rPr>
                <w:bCs/>
                <w:b/>
              </w:rPr>
              <w:t xml:space="preserve">Custom PCB Schematic Design:</w:t>
            </w:r>
            <w:r>
              <w:br/>
            </w:r>
            <w:r>
              <w:t xml:space="preserve">Comprehensive schematic capture for a multi-layer industrial control board. This service includes component selection optimized for availability in the Iranian market, power distribution network analysis, and signal integrity considerations for high-speed communication interfaces.</w:t>
            </w:r>
          </w:p>
        </w:tc>
        <w:tc>
          <w:tcPr/>
          <w:p>
            <w:pPr>
              <w:pStyle w:val="Compact"/>
              <w:jc w:val="left"/>
            </w:pPr>
            <w:r>
              <w:t xml:space="preserve">40</w:t>
            </w:r>
          </w:p>
        </w:tc>
        <w:tc>
          <w:tcPr/>
          <w:p>
            <w:pPr>
              <w:pStyle w:val="Compact"/>
              <w:jc w:val="left"/>
            </w:pPr>
            <w:r>
              <w:t xml:space="preserve">2,500,000</w:t>
            </w:r>
          </w:p>
        </w:tc>
        <w:tc>
          <w:tcPr/>
          <w:p>
            <w:pPr>
              <w:pStyle w:val="Compact"/>
              <w:jc w:val="left"/>
            </w:pPr>
            <w:r>
              <w:t xml:space="preserve">100,000,000</w:t>
            </w:r>
          </w:p>
        </w:tc>
      </w:tr>
      <w:tr>
        <w:tc>
          <w:tcPr/>
          <w:p>
            <w:pPr>
              <w:pStyle w:val="Compact"/>
              <w:jc w:val="left"/>
            </w:pPr>
            <w:r>
              <w:t xml:space="preserve">2</w:t>
            </w:r>
          </w:p>
        </w:tc>
        <w:tc>
          <w:tcPr/>
          <w:p>
            <w:pPr>
              <w:pStyle w:val="Compact"/>
              <w:jc w:val="left"/>
            </w:pPr>
            <w:r>
              <w:rPr>
                <w:bCs/>
                <w:b/>
              </w:rPr>
              <w:t xml:space="preserve">PCB Layout &amp; Routing:</w:t>
            </w:r>
            <w:r>
              <w:br/>
            </w:r>
            <w:r>
              <w:t xml:space="preserve">Detailed physical layout design using industry-standard EDA tools. Includes impedance-controlled routing for differential pairs, thermal management strategies for power components, and DFM (Design for Manufacturing) checks to ensure compatibility with local fabrication facilities in Tehran.</w:t>
            </w:r>
          </w:p>
        </w:tc>
        <w:tc>
          <w:tcPr/>
          <w:p>
            <w:pPr>
              <w:pStyle w:val="Compact"/>
              <w:jc w:val="left"/>
            </w:pPr>
            <w:r>
              <w:t xml:space="preserve">50</w:t>
            </w:r>
          </w:p>
        </w:tc>
        <w:tc>
          <w:tcPr/>
          <w:p>
            <w:pPr>
              <w:pStyle w:val="Compact"/>
              <w:jc w:val="left"/>
            </w:pPr>
            <w:r>
              <w:t xml:space="preserve">2,500,000</w:t>
            </w:r>
          </w:p>
        </w:tc>
        <w:tc>
          <w:tcPr/>
          <w:p>
            <w:pPr>
              <w:pStyle w:val="Compact"/>
              <w:jc w:val="left"/>
            </w:pPr>
            <w:r>
              <w:t xml:space="preserve">125,000,000</w:t>
            </w:r>
          </w:p>
        </w:tc>
      </w:tr>
      <w:tr>
        <w:tc>
          <w:tcPr/>
          <w:p>
            <w:pPr>
              <w:pStyle w:val="Compact"/>
              <w:jc w:val="left"/>
            </w:pPr>
            <w:r>
              <w:t xml:space="preserve">3</w:t>
            </w:r>
          </w:p>
        </w:tc>
        <w:tc>
          <w:tcPr/>
          <w:p>
            <w:pPr>
              <w:pStyle w:val="Compact"/>
              <w:jc w:val="left"/>
            </w:pPr>
            <w:r>
              <w:rPr>
                <w:bCs/>
                <w:b/>
              </w:rPr>
              <w:t xml:space="preserve">Firmware Development:</w:t>
            </w:r>
            <w:r>
              <w:br/>
            </w:r>
            <w:r>
              <w:t xml:space="preserve">Embedded C programming for ARM Cortex-M microcontroller. Implementation of real-time operating system (RTOS) tasks, I2C/SPI driver development, and power management algorithms. Code is optimized for low-power operation and includes comprehensive error handling routines.</w:t>
            </w:r>
          </w:p>
        </w:tc>
        <w:tc>
          <w:tcPr/>
          <w:p>
            <w:pPr>
              <w:pStyle w:val="Compact"/>
              <w:jc w:val="left"/>
            </w:pPr>
            <w:r>
              <w:t xml:space="preserve">60</w:t>
            </w:r>
          </w:p>
        </w:tc>
        <w:tc>
          <w:tcPr/>
          <w:p>
            <w:pPr>
              <w:pStyle w:val="Compact"/>
              <w:jc w:val="left"/>
            </w:pPr>
            <w:r>
              <w:t xml:space="preserve">2,800,000</w:t>
            </w:r>
          </w:p>
        </w:tc>
        <w:tc>
          <w:tcPr/>
          <w:p>
            <w:pPr>
              <w:pStyle w:val="Compact"/>
              <w:jc w:val="left"/>
            </w:pPr>
            <w:r>
              <w:t xml:space="preserve">168,000,000</w:t>
            </w:r>
          </w:p>
        </w:tc>
      </w:tr>
      <w:tr>
        <w:tc>
          <w:tcPr/>
          <w:p>
            <w:pPr>
              <w:pStyle w:val="Compact"/>
              <w:jc w:val="left"/>
            </w:pPr>
            <w:r>
              <w:t xml:space="preserve">4</w:t>
            </w:r>
          </w:p>
        </w:tc>
        <w:tc>
          <w:tcPr/>
          <w:p>
            <w:pPr>
              <w:pStyle w:val="Compact"/>
              <w:jc w:val="left"/>
            </w:pPr>
            <w:r>
              <w:rPr>
                <w:bCs/>
                <w:b/>
              </w:rPr>
              <w:t xml:space="preserve">Prototype Testing &amp; Validation:</w:t>
            </w:r>
            <w:r>
              <w:br/>
            </w:r>
            <w:r>
              <w:t xml:space="preserve">On-site testing at our Tehran laboratory. Includes functional verification, electrical safety checks, electromagnetic compatibility (EMC) pre-compliance testing, and environmental stress screening. Detailed test reports provided with recommendations for design improvements.</w:t>
            </w:r>
          </w:p>
        </w:tc>
        <w:tc>
          <w:tcPr/>
          <w:p>
            <w:pPr>
              <w:pStyle w:val="Compact"/>
              <w:jc w:val="left"/>
            </w:pPr>
            <w:r>
              <w:t xml:space="preserve">25</w:t>
            </w:r>
          </w:p>
        </w:tc>
        <w:tc>
          <w:tcPr/>
          <w:p>
            <w:pPr>
              <w:pStyle w:val="Compact"/>
              <w:jc w:val="left"/>
            </w:pPr>
            <w:r>
              <w:t xml:space="preserve">3,000,000</w:t>
            </w:r>
          </w:p>
        </w:tc>
        <w:tc>
          <w:tcPr/>
          <w:p>
            <w:pPr>
              <w:pStyle w:val="Compact"/>
              <w:jc w:val="left"/>
            </w:pPr>
            <w:r>
              <w:t xml:space="preserve">75,000,000</w:t>
            </w:r>
          </w:p>
        </w:tc>
      </w:tr>
      <w:tr>
        <w:tc>
          <w:tcPr/>
          <w:p>
            <w:pPr>
              <w:pStyle w:val="Compact"/>
              <w:jc w:val="left"/>
            </w:pPr>
            <w:r>
              <w:t xml:space="preserve">5</w:t>
            </w:r>
          </w:p>
        </w:tc>
        <w:tc>
          <w:tcPr/>
          <w:p>
            <w:pPr>
              <w:pStyle w:val="Compact"/>
              <w:jc w:val="left"/>
            </w:pPr>
            <w:r>
              <w:rPr>
                <w:bCs/>
                <w:b/>
              </w:rPr>
              <w:t xml:space="preserve">Technical Documentation:</w:t>
            </w:r>
            <w:r>
              <w:br/>
            </w:r>
            <w:r>
              <w:t xml:space="preserve">Complete engineering documentation package including bill of materials (BOM) with local supplier references, assembly drawings, firmware user manual, and maintenance guidelines. All documentation prepared in accordance with Iranian industrial standards.</w:t>
            </w:r>
          </w:p>
        </w:tc>
        <w:tc>
          <w:tcPr/>
          <w:p>
            <w:pPr>
              <w:pStyle w:val="Compact"/>
              <w:jc w:val="left"/>
            </w:pPr>
            <w:r>
              <w:t xml:space="preserve">15</w:t>
            </w:r>
          </w:p>
        </w:tc>
        <w:tc>
          <w:tcPr/>
          <w:p>
            <w:pPr>
              <w:pStyle w:val="Compact"/>
              <w:jc w:val="left"/>
            </w:pPr>
            <w:r>
              <w:t xml:space="preserve">2,000,000</w:t>
            </w:r>
          </w:p>
        </w:tc>
        <w:tc>
          <w:tcPr/>
          <w:p>
            <w:pPr>
              <w:pStyle w:val="Compact"/>
              <w:jc w:val="left"/>
            </w:pPr>
            <w:r>
              <w:t xml:space="preserve">30,000,000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498,000,000 IRR</w:t>
            </w:r>
          </w:p>
        </w:tc>
      </w:tr>
      <w:tr>
        <w:tc>
          <w:tcPr/>
          <w:p>
            <w:pPr>
              <w:pStyle w:val="Compact"/>
              <w:jc w:val="left"/>
            </w:pPr>
            <w:r>
              <w:t xml:space="preserve">Value Added Tax (9%):</w:t>
            </w:r>
          </w:p>
        </w:tc>
        <w:tc>
          <w:tcPr/>
          <w:p>
            <w:pPr>
              <w:pStyle w:val="Compact"/>
              <w:jc w:val="left"/>
            </w:pPr>
            <w:r>
              <w:t xml:space="preserve">44,820,000 IRR</w:t>
            </w:r>
          </w:p>
        </w:tc>
      </w:tr>
      <w:tr>
        <w:tc>
          <w:tcPr/>
          <w:p>
            <w:pPr>
              <w:pStyle w:val="Compact"/>
              <w:jc w:val="left"/>
            </w:pPr>
            <w:r>
              <w:t xml:space="preserve">Grand Total:</w:t>
            </w:r>
          </w:p>
        </w:tc>
        <w:tc>
          <w:tcPr/>
          <w:p>
            <w:pPr>
              <w:pStyle w:val="Compact"/>
              <w:jc w:val="left"/>
            </w:pPr>
            <w:r>
              <w:t xml:space="preserve">542,820,000 IRR</w:t>
            </w:r>
          </w:p>
        </w:tc>
      </w:tr>
    </w:tbl>
    <w:bookmarkStart w:id="22" w:name="payment-terms-conditions"/>
    <w:p>
      <w:pPr>
        <w:pStyle w:val="Heading3"/>
      </w:pPr>
      <w:r>
        <w:t xml:space="preserve">Payment Terms &amp; Conditions:</w:t>
      </w:r>
    </w:p>
    <w:p>
      <w:pPr>
        <w:pStyle w:val="FirstParagraph"/>
      </w:pPr>
      <w:r>
        <w:t xml:space="preserve">This invoice represents professional electronics engineering services rendered by Persian Circuit Solutions, a registered engineering firm operating in Tehran, Iran. Payment is due within 30 days of the invoice date. Late payments will incur a monthly interest charge of 2% on the outstanding balance.</w:t>
      </w:r>
    </w:p>
    <w:p>
      <w:pPr>
        <w:pStyle w:val="BodyText"/>
      </w:pPr>
      <w:r>
        <w:rPr>
          <w:bCs/>
          <w:b/>
        </w:rPr>
        <w:t xml:space="preserve">Bank Transfer Details:</w:t>
      </w:r>
      <w:r>
        <w:br/>
      </w:r>
      <w:r>
        <w:t xml:space="preserve">Bank: Bank Melli Iran</w:t>
      </w:r>
      <w:r>
        <w:br/>
      </w:r>
      <w:r>
        <w:t xml:space="preserve">Branch: Valiasr Street, Tehran</w:t>
      </w:r>
      <w:r>
        <w:br/>
      </w:r>
      <w:r>
        <w:t xml:space="preserve">Account Name: Persian Circuit Solutions Co.</w:t>
      </w:r>
      <w:r>
        <w:br/>
      </w:r>
      <w:r>
        <w:t xml:space="preserve">IBAN: IR00 0000 0000 0000 0000 0000 000</w:t>
      </w:r>
      <w:r>
        <w:br/>
      </w:r>
      <w:r>
        <w:t xml:space="preserve">SWIFT Code: MELLIRTH</w:t>
      </w:r>
    </w:p>
    <w:p>
      <w:pPr>
        <w:pStyle w:val="BodyText"/>
      </w:pPr>
      <w:r>
        <w:t xml:space="preserve">All services have been performed in accordance with the highest standards of the electronics engineering profession. Our team of qualified engineers has ensured that all designs meet the technical specifications agreed upon in the project contract. The intellectual property rights for the custom designs transfer to the client upon full payment of this invoice.</w:t>
      </w:r>
    </w:p>
    <w:p>
      <w:pPr>
        <w:pStyle w:val="BodyText"/>
      </w:pPr>
      <w:r>
        <w:t xml:space="preserve">For any questions regarding this invoice or the engineering services provided, please contact our billing department at the address listed above or via email at billing@persiancircuit.ir. We appreciate your business and look forward to continuing our professional relationship.</w:t>
      </w:r>
    </w:p>
    <w:p>
      <w:pPr>
        <w:pStyle w:val="BodyText"/>
      </w:pPr>
      <w:r>
        <w:rPr>
          <w:iCs/>
          <w:i/>
        </w:rPr>
        <w:t xml:space="preserve">Note: This invoice is valid for tax purposes in the Islamic Republic of Iran and complies with all relevant financial regulations.</w:t>
      </w:r>
    </w:p>
    <w:bookmarkEnd w:id="22"/>
    <w:p>
      <w:pPr>
        <w:pStyle w:val="BodyText"/>
      </w:pPr>
      <w:r>
        <w:t xml:space="preserve">Authorized Signature</w:t>
      </w:r>
      <w:r>
        <w:br/>
      </w:r>
      <w:r>
        <w:t xml:space="preserve">Persian Circuit Solutions</w:t>
      </w:r>
    </w:p>
    <w:p>
      <w:pPr>
        <w:pStyle w:val="BodyText"/>
      </w:pPr>
      <w:r>
        <w:t xml:space="preserve">Received By</w:t>
      </w:r>
      <w:r>
        <w:br/>
      </w:r>
      <w:r>
        <w:t xml:space="preserve">Advanced Manufacturing Industries 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Engineering Services</dc:title>
  <dc:creator/>
  <dc:language>en</dc:language>
  <cp:keywords/>
  <dcterms:created xsi:type="dcterms:W3CDTF">2026-10-10T01:42:17Z</dcterms:created>
  <dcterms:modified xsi:type="dcterms:W3CDTF">2026-10-10T01:42:17Z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