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Electronics</w:t>
      </w:r>
      <w:r>
        <w:t xml:space="preserve"> </w:t>
      </w:r>
      <w:r>
        <w:t xml:space="preserve">Engineering</w:t>
      </w:r>
      <w:r>
        <w:t xml:space="preserve"> </w:t>
      </w:r>
      <w:r>
        <w:t xml:space="preserve">Services</w:t>
      </w:r>
    </w:p>
    <w:bookmarkStart w:id="20" w:name="circuit-logic-engineering"/>
    <w:p>
      <w:pPr>
        <w:pStyle w:val="Heading1"/>
      </w:pPr>
      <w:r>
        <w:t xml:space="preserve">Circuit Logic Engineering</w:t>
      </w:r>
    </w:p>
    <w:p>
      <w:pPr>
        <w:pStyle w:val="FirstParagraph"/>
      </w:pPr>
      <w:r>
        <w:rPr>
          <w:bCs/>
          <w:b/>
        </w:rPr>
        <w:t xml:space="preserve">Specialized Electronics Engineering Services</w:t>
      </w:r>
    </w:p>
    <w:p>
      <w:pPr>
        <w:pStyle w:val="BodyText"/>
      </w:pPr>
      <w:r>
        <w:t xml:space="preserve">Carrer de Balmes, 150, 4th Floor</w:t>
      </w:r>
    </w:p>
    <w:p>
      <w:pPr>
        <w:pStyle w:val="BodyText"/>
      </w:pPr>
      <w:r>
        <w:t xml:space="preserve">08008 Barcelona, Spain</w:t>
      </w:r>
    </w:p>
    <w:p>
      <w:pPr>
        <w:pStyle w:val="BodyText"/>
      </w:pPr>
      <w:r>
        <w:t xml:space="preserve">NIF: B-65432198</w:t>
      </w:r>
    </w:p>
    <w:p>
      <w:pPr>
        <w:pStyle w:val="BodyText"/>
      </w:pPr>
      <w:r>
        <w:t xml:space="preserve">Email: billing@circuitlogic.es</w:t>
      </w:r>
    </w:p>
    <w:p>
      <w:pPr>
        <w:pStyle w:val="BodyText"/>
      </w:pPr>
      <w:r>
        <w:t xml:space="preserve">Phone: +34 93 123 4567</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TechNova Solutions S.L.</w:t>
      </w:r>
    </w:p>
    <w:p>
      <w:pPr>
        <w:pStyle w:val="BodyText"/>
      </w:pPr>
      <w:r>
        <w:t xml:space="preserve">Attn: Procurement Department</w:t>
      </w:r>
    </w:p>
    <w:p>
      <w:pPr>
        <w:pStyle w:val="BodyText"/>
      </w:pPr>
      <w:r>
        <w:t xml:space="preserve">Passeig de Gràcia, 55</w:t>
      </w:r>
    </w:p>
    <w:p>
      <w:pPr>
        <w:pStyle w:val="BodyText"/>
      </w:pPr>
      <w:r>
        <w:t xml:space="preserve">08007 Barcelona, Spain</w:t>
      </w:r>
    </w:p>
    <w:p>
      <w:pPr>
        <w:pStyle w:val="BodyText"/>
      </w:pPr>
      <w:r>
        <w:t xml:space="preserve">NIF: B-12345678</w:t>
      </w:r>
    </w:p>
    <w:bookmarkEnd w:id="22"/>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Engineering Services</w:t>
            </w:r>
          </w:p>
        </w:tc>
        <w:tc>
          <w:tcPr/>
          <w:p>
            <w:pPr>
              <w:pStyle w:val="Compact"/>
              <w:jc w:val="left"/>
            </w:pPr>
            <w:r>
              <w:t xml:space="preserve">Hours / Qty</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rPr>
                <w:bCs/>
                <w:b/>
              </w:rPr>
              <w:t xml:space="preserve">PCB Design and Schematic Capture:</w:t>
            </w:r>
            <w:r>
              <w:br/>
            </w:r>
            <w:r>
              <w:t xml:space="preserve">Comprehensive schematic design for high-frequency RF modules. Utilization of Altium Designer for multi-layer PCB layout optimization. This service includes component selection, footprint verification, and signal integrity analysis tailored for industrial IoT applications in the Barcelona tech sector.</w:t>
            </w:r>
          </w:p>
        </w:tc>
        <w:tc>
          <w:tcPr/>
          <w:p>
            <w:pPr>
              <w:pStyle w:val="Compact"/>
              <w:jc w:val="left"/>
            </w:pPr>
            <w:r>
              <w:t xml:space="preserve">40</w:t>
            </w:r>
          </w:p>
        </w:tc>
        <w:tc>
          <w:tcPr/>
          <w:p>
            <w:pPr>
              <w:pStyle w:val="Compact"/>
              <w:jc w:val="left"/>
            </w:pPr>
            <w:r>
              <w:t xml:space="preserve">85.00</w:t>
            </w:r>
          </w:p>
        </w:tc>
        <w:tc>
          <w:tcPr/>
          <w:p>
            <w:pPr>
              <w:pStyle w:val="Compact"/>
              <w:jc w:val="left"/>
            </w:pPr>
            <w:r>
              <w:t xml:space="preserve">3,400.00</w:t>
            </w:r>
          </w:p>
        </w:tc>
      </w:tr>
      <w:tr>
        <w:tc>
          <w:tcPr/>
          <w:p>
            <w:pPr>
              <w:pStyle w:val="Compact"/>
              <w:jc w:val="left"/>
            </w:pPr>
            <w:r>
              <w:t xml:space="preserve">2</w:t>
            </w:r>
          </w:p>
        </w:tc>
        <w:tc>
          <w:tcPr/>
          <w:p>
            <w:pPr>
              <w:pStyle w:val="Compact"/>
              <w:jc w:val="left"/>
            </w:pPr>
            <w:r>
              <w:rPr>
                <w:bCs/>
                <w:b/>
              </w:rPr>
              <w:t xml:space="preserve">Embedded Systems Firmware Development:</w:t>
            </w:r>
            <w:r>
              <w:br/>
            </w:r>
            <w:r>
              <w:t xml:space="preserve">Low-level firmware programming for ARM Cortex-M4 microcontrollers. Implementation of real-time operating systems (RTOS) and power management algorithms. Code optimization for energy efficiency and integration with wireless communication protocols (LoRaWAN and BLE).</w:t>
            </w:r>
          </w:p>
        </w:tc>
        <w:tc>
          <w:tcPr/>
          <w:p>
            <w:pPr>
              <w:pStyle w:val="Compact"/>
              <w:jc w:val="left"/>
            </w:pPr>
            <w:r>
              <w:t xml:space="preserve">35</w:t>
            </w:r>
          </w:p>
        </w:tc>
        <w:tc>
          <w:tcPr/>
          <w:p>
            <w:pPr>
              <w:pStyle w:val="Compact"/>
              <w:jc w:val="left"/>
            </w:pPr>
            <w:r>
              <w:t xml:space="preserve">90.00</w:t>
            </w:r>
          </w:p>
        </w:tc>
        <w:tc>
          <w:tcPr/>
          <w:p>
            <w:pPr>
              <w:pStyle w:val="Compact"/>
              <w:jc w:val="left"/>
            </w:pPr>
            <w:r>
              <w:t xml:space="preserve">3,150.00</w:t>
            </w:r>
          </w:p>
        </w:tc>
      </w:tr>
      <w:tr>
        <w:tc>
          <w:tcPr/>
          <w:p>
            <w:pPr>
              <w:pStyle w:val="Compact"/>
              <w:jc w:val="left"/>
            </w:pPr>
            <w:r>
              <w:t xml:space="preserve">3</w:t>
            </w:r>
          </w:p>
        </w:tc>
        <w:tc>
          <w:tcPr/>
          <w:p>
            <w:pPr>
              <w:pStyle w:val="Compact"/>
              <w:jc w:val="left"/>
            </w:pPr>
            <w:r>
              <w:rPr>
                <w:bCs/>
                <w:b/>
              </w:rPr>
              <w:t xml:space="preserve">Hardware Prototyping and Testing:</w:t>
            </w:r>
            <w:r>
              <w:br/>
            </w:r>
            <w:r>
              <w:t xml:space="preserve">Assembly and debugging of engineering prototypes. Execution of rigorous electrical testing including thermal analysis, EMC/EMI pre-compliance testing, and functional validation. Troubleshooting hardware anomalies and implementing design corrections to ensure reliability under operational stress.</w:t>
            </w:r>
          </w:p>
        </w:tc>
        <w:tc>
          <w:tcPr/>
          <w:p>
            <w:pPr>
              <w:pStyle w:val="Compact"/>
              <w:jc w:val="left"/>
            </w:pPr>
            <w:r>
              <w:t xml:space="preserve">25</w:t>
            </w:r>
          </w:p>
        </w:tc>
        <w:tc>
          <w:tcPr/>
          <w:p>
            <w:pPr>
              <w:pStyle w:val="Compact"/>
              <w:jc w:val="left"/>
            </w:pPr>
            <w:r>
              <w:t xml:space="preserve">80.00</w:t>
            </w:r>
          </w:p>
        </w:tc>
        <w:tc>
          <w:tcPr/>
          <w:p>
            <w:pPr>
              <w:pStyle w:val="Compact"/>
              <w:jc w:val="left"/>
            </w:pPr>
            <w:r>
              <w:t xml:space="preserve">2,000.00</w:t>
            </w:r>
          </w:p>
        </w:tc>
      </w:tr>
      <w:tr>
        <w:tc>
          <w:tcPr/>
          <w:p>
            <w:pPr>
              <w:pStyle w:val="Compact"/>
              <w:jc w:val="left"/>
            </w:pPr>
            <w:r>
              <w:t xml:space="preserve">4</w:t>
            </w:r>
          </w:p>
        </w:tc>
        <w:tc>
          <w:tcPr/>
          <w:p>
            <w:pPr>
              <w:pStyle w:val="Compact"/>
              <w:jc w:val="left"/>
            </w:pPr>
            <w:r>
              <w:rPr>
                <w:bCs/>
                <w:b/>
              </w:rPr>
              <w:t xml:space="preserve">Technical Documentation and Compliance:</w:t>
            </w:r>
            <w:r>
              <w:br/>
            </w:r>
            <w:r>
              <w:t xml:space="preserve">Preparation of detailed engineering documentation, including Bill of Materials (BOM), assembly drawings, and user manuals. Ensuring all designs meet relevant European Union directives and Spanish technical standards for electronic equipment safety and electromagnetic compatibility.</w:t>
            </w:r>
          </w:p>
        </w:tc>
        <w:tc>
          <w:tcPr/>
          <w:p>
            <w:pPr>
              <w:pStyle w:val="Compact"/>
              <w:jc w:val="left"/>
            </w:pPr>
            <w:r>
              <w:t xml:space="preserve">15</w:t>
            </w:r>
          </w:p>
        </w:tc>
        <w:tc>
          <w:tcPr/>
          <w:p>
            <w:pPr>
              <w:pStyle w:val="Compact"/>
              <w:jc w:val="left"/>
            </w:pPr>
            <w:r>
              <w:t xml:space="preserve">75.00</w:t>
            </w:r>
          </w:p>
        </w:tc>
        <w:tc>
          <w:tcPr/>
          <w:p>
            <w:pPr>
              <w:pStyle w:val="Compact"/>
              <w:jc w:val="left"/>
            </w:pPr>
            <w:r>
              <w:t xml:space="preserve">1,125.00</w:t>
            </w:r>
          </w:p>
        </w:tc>
      </w:tr>
    </w:tbl>
    <w:p>
      <w:pPr>
        <w:pStyle w:val="BodyText"/>
      </w:pPr>
      <w:r>
        <w:t xml:space="preserve">Subtotal:</w:t>
      </w:r>
      <w:r>
        <w:t xml:space="preserve"> </w:t>
      </w:r>
      <w:r>
        <w:t xml:space="preserve">9,675.00 EUR</w:t>
      </w:r>
    </w:p>
    <w:p>
      <w:pPr>
        <w:pStyle w:val="BodyText"/>
      </w:pPr>
      <w:r>
        <w:t xml:space="preserve">VAT (IVA 21%):</w:t>
      </w:r>
      <w:r>
        <w:t xml:space="preserve"> </w:t>
      </w:r>
      <w:r>
        <w:t xml:space="preserve">2,031.75 EUR</w:t>
      </w:r>
    </w:p>
    <w:p>
      <w:pPr>
        <w:pStyle w:val="BodyText"/>
      </w:pPr>
      <w:r>
        <w:t xml:space="preserve">TOTAL DUE:</w:t>
      </w:r>
      <w:r>
        <w:t xml:space="preserve"> </w:t>
      </w:r>
      <w:r>
        <w:t xml:space="preserve">11,706.75 EUR</w:t>
      </w:r>
    </w:p>
    <w:bookmarkStart w:id="23" w:name="payment-instructions-notes"/>
    <w:p>
      <w:pPr>
        <w:pStyle w:val="Heading4"/>
      </w:pPr>
      <w:r>
        <w:t xml:space="preserve">Payment Instructions &amp; Notes:</w:t>
      </w:r>
    </w:p>
    <w:p>
      <w:pPr>
        <w:pStyle w:val="FirstParagraph"/>
      </w:pPr>
      <w:r>
        <w:rPr>
          <w:bCs/>
          <w:b/>
        </w:rPr>
        <w:t xml:space="preserve">Bank Transfer Details:</w:t>
      </w:r>
    </w:p>
    <w:p>
      <w:pPr>
        <w:pStyle w:val="BodyText"/>
      </w:pPr>
      <w:r>
        <w:t xml:space="preserve">Bank: Banco Santander S.A.</w:t>
      </w:r>
    </w:p>
    <w:p>
      <w:pPr>
        <w:pStyle w:val="BodyText"/>
      </w:pPr>
      <w:r>
        <w:t xml:space="preserve">IBAN: ES91 2100 0418 4502 0005 1332</w:t>
      </w:r>
    </w:p>
    <w:p>
      <w:pPr>
        <w:pStyle w:val="BodyText"/>
      </w:pPr>
      <w:r>
        <w:t xml:space="preserve">BIC/SWIFT: BSCHESMMXXX</w:t>
      </w:r>
    </w:p>
    <w:p>
      <w:pPr>
        <w:pStyle w:val="BodyText"/>
      </w:pPr>
      <w:r>
        <w:rPr>
          <w:bCs/>
          <w:b/>
        </w:rPr>
        <w:t xml:space="preserve">Reference:</w:t>
      </w:r>
      <w:r>
        <w:t xml:space="preserve"> </w:t>
      </w:r>
      <w:r>
        <w:t xml:space="preserve">Please include Invoice Number INV-2023-10-045 in the transfer reference.</w:t>
      </w:r>
    </w:p>
    <w:p>
      <w:pPr>
        <w:pStyle w:val="BodyText"/>
      </w:pPr>
      <w:r>
        <w:br/>
      </w:r>
    </w:p>
    <w:p>
      <w:pPr>
        <w:pStyle w:val="BodyText"/>
      </w:pPr>
      <w:r>
        <w:rPr>
          <w:bCs/>
          <w:b/>
        </w:rPr>
        <w:t xml:space="preserve">Terms and Conditions:</w:t>
      </w:r>
    </w:p>
    <w:p>
      <w:pPr>
        <w:pStyle w:val="BodyText"/>
      </w:pPr>
      <w:r>
        <w:t xml:space="preserve">1. Payment is due within 30 days of the invoice date. Late payments may incur interest charges in accordance with Spanish Law 3/2004 on the prevention of late payments in commercial transactions.</w:t>
      </w:r>
    </w:p>
    <w:p>
      <w:pPr>
        <w:pStyle w:val="BodyText"/>
      </w:pPr>
      <w:r>
        <w:t xml:space="preserve">2. All intellectual property rights regarding the custom electronics designs and firmware developed under this invoice remain the property of Circuit Logic Engineering until full payment is received.</w:t>
      </w:r>
    </w:p>
    <w:p>
      <w:pPr>
        <w:pStyle w:val="BodyText"/>
      </w:pPr>
      <w:r>
        <w:t xml:space="preserve">3. This invoice reflects professional services rendered by a certified Electronics Engineer specializing in embedded systems and circuit design.</w:t>
      </w:r>
    </w:p>
    <w:p>
      <w:pPr>
        <w:pStyle w:val="BodyText"/>
      </w:pPr>
      <w:r>
        <w:t xml:space="preserve">4. Any disputes regarding this invoice must be raised within 10 days of receipt. Failure to do so will be considered acceptance of the charges.</w:t>
      </w:r>
    </w:p>
    <w:p>
      <w:pPr>
        <w:pStyle w:val="BodyText"/>
      </w:pPr>
      <w:r>
        <w:t xml:space="preserve">5. This document serves as a formal request for payment for engineering consultancy and development services provided in Barcelona, Spain.</w:t>
      </w:r>
    </w:p>
    <w:bookmarkEnd w:id="23"/>
    <w:p>
      <w:pPr>
        <w:pStyle w:val="BodyText"/>
      </w:pPr>
      <w:r>
        <w:rPr>
          <w:bCs/>
          <w:b/>
        </w:rPr>
        <w:t xml:space="preserve">Authorized Signature:</w:t>
      </w:r>
    </w:p>
    <w:p>
      <w:pPr>
        <w:pStyle w:val="BodyText"/>
      </w:pPr>
      <w:r>
        <w:t xml:space="preserve">Jordi M. Capdevila</w:t>
      </w:r>
    </w:p>
    <w:p>
      <w:pPr>
        <w:pStyle w:val="BodyText"/>
      </w:pPr>
      <w:r>
        <w:t xml:space="preserve">Jordi M. Capdevila</w:t>
      </w:r>
    </w:p>
    <w:p>
      <w:pPr>
        <w:pStyle w:val="BodyText"/>
      </w:pPr>
      <w:r>
        <w:t xml:space="preserve">Lead Electronics Engineer</w:t>
      </w:r>
    </w:p>
    <w:p>
      <w:pPr>
        <w:pStyle w:val="BodyText"/>
      </w:pPr>
      <w:r>
        <w:rPr>
          <w:bCs/>
          <w:b/>
        </w:rPr>
        <w:t xml:space="preserve">Accepted By:</w:t>
      </w:r>
    </w:p>
    <w:p>
      <w:pPr>
        <w:pStyle w:val="BodyText"/>
      </w:pPr>
      <w:r>
        <w:t xml:space="preserve">Name:</w:t>
      </w:r>
    </w:p>
    <w:p>
      <w:pPr>
        <w:pStyle w:val="BodyText"/>
      </w:pPr>
      <w:r>
        <w:t xml:space="preserve">Date:</w:t>
      </w:r>
    </w:p>
    <w:p>
      <w:pPr>
        <w:pStyle w:val="BodyText"/>
      </w:pPr>
      <w:r>
        <w:t xml:space="preserve">Thank you for your business. We appreciate your trust in our electronics engineering expertise.</w:t>
      </w:r>
    </w:p>
    <w:p>
      <w:pPr>
        <w:pStyle w:val="BodyText"/>
      </w:pPr>
      <w:r>
        <w:t xml:space="preserve">Circuit Logic Engineering © 2023. All rights reserved. Registered in Barcelona, Spain.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Electronics Engineering Services</dc:title>
  <dc:creator/>
  <dc:language>en</dc:language>
  <cp:keywords/>
  <dcterms:created xsi:type="dcterms:W3CDTF">2026-10-10T00:29:37Z</dcterms:created>
  <dcterms:modified xsi:type="dcterms:W3CDTF">2026-10-10T00:29:37Z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