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Electronics</w:t>
      </w:r>
      <w:r>
        <w:t xml:space="preserve"> </w:t>
      </w:r>
      <w:r>
        <w:t xml:space="preserve">Engineering</w:t>
      </w:r>
      <w:r>
        <w:t xml:space="preserve"> </w:t>
      </w:r>
      <w:r>
        <w:t xml:space="preserve">Services</w:t>
      </w:r>
    </w:p>
    <w:bookmarkStart w:id="20" w:name="zurich-precision-electronics-ag"/>
    <w:p>
      <w:pPr>
        <w:pStyle w:val="Heading1"/>
      </w:pPr>
      <w:r>
        <w:t xml:space="preserve">Zurich Precision Electronics AG</w:t>
      </w:r>
    </w:p>
    <w:p>
      <w:pPr>
        <w:pStyle w:val="FirstParagraph"/>
      </w:pPr>
      <w:r>
        <w:rPr>
          <w:bCs/>
          <w:b/>
        </w:rPr>
        <w:t xml:space="preserve">Lead Electronics Engineer:</w:t>
      </w:r>
      <w:r>
        <w:t xml:space="preserve"> </w:t>
      </w:r>
      <w:r>
        <w:t xml:space="preserve">Dr. Hans Müller, HTL</w:t>
      </w:r>
    </w:p>
    <w:p>
      <w:pPr>
        <w:pStyle w:val="BodyText"/>
      </w:pPr>
      <w:r>
        <w:t xml:space="preserve">Bahnhofstrasse 42, 8001 Zurich, Switzerland</w:t>
      </w:r>
    </w:p>
    <w:p>
      <w:pPr>
        <w:pStyle w:val="BodyText"/>
      </w:pPr>
      <w:r>
        <w:t xml:space="preserve">Tel: +41 44 123 45 67 | Email: billing@zurichprecision.ch</w:t>
      </w:r>
    </w:p>
    <w:p>
      <w:pPr>
        <w:pStyle w:val="BodyText"/>
      </w:pPr>
      <w:r>
        <w:t xml:space="preserve">VAT ID: CHE-123.456.789 MWST</w:t>
      </w:r>
    </w:p>
    <w:p>
      <w:pPr>
        <w:pStyle w:val="BodyText"/>
      </w:pPr>
      <w:r>
        <w:t xml:space="preserve">IBAN: CH93 0076 2011 6238 5295 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ZRH-EMC-2023-Q4</w:t>
      </w:r>
    </w:p>
    <w:bookmarkEnd w:id="21"/>
    <w:bookmarkStart w:id="22" w:name="bill-to"/>
    <w:p>
      <w:pPr>
        <w:pStyle w:val="Heading3"/>
      </w:pPr>
      <w:r>
        <w:t xml:space="preserve">Bill To</w:t>
      </w:r>
    </w:p>
    <w:p>
      <w:pPr>
        <w:pStyle w:val="FirstParagraph"/>
      </w:pPr>
      <w:r>
        <w:rPr>
          <w:bCs/>
          <w:b/>
        </w:rPr>
        <w:t xml:space="preserve">Swiss Advanced Robotics GmbH</w:t>
      </w:r>
    </w:p>
    <w:p>
      <w:pPr>
        <w:pStyle w:val="BodyText"/>
      </w:pPr>
      <w:r>
        <w:t xml:space="preserve">Attn: Procurement Department</w:t>
      </w:r>
    </w:p>
    <w:p>
      <w:pPr>
        <w:pStyle w:val="BodyText"/>
      </w:pPr>
      <w:r>
        <w:t xml:space="preserve">Technoparkstrasse 1</w:t>
      </w:r>
    </w:p>
    <w:p>
      <w:pPr>
        <w:pStyle w:val="BodyText"/>
      </w:pPr>
      <w:r>
        <w:t xml:space="preserve">8005 Zurich, Switzerland</w:t>
      </w:r>
    </w:p>
    <w:p>
      <w:pPr>
        <w:pStyle w:val="BodyText"/>
      </w:pPr>
      <w:r>
        <w:t xml:space="preserve">VAT ID: CHE-987.654.321 MWST</w:t>
      </w:r>
    </w:p>
    <w:bookmarkEnd w:id="22"/>
    <w:bookmarkStart w:id="23" w:name="project-location"/>
    <w:p>
      <w:pPr>
        <w:pStyle w:val="Heading3"/>
      </w:pPr>
      <w:r>
        <w:t xml:space="preserve">Project Location</w:t>
      </w:r>
    </w:p>
    <w:p>
      <w:pPr>
        <w:pStyle w:val="FirstParagraph"/>
      </w:pPr>
      <w:r>
        <w:t xml:space="preserve">Swiss Advanced Robotics R&amp;D Lab</w:t>
      </w:r>
    </w:p>
    <w:p>
      <w:pPr>
        <w:pStyle w:val="BodyText"/>
      </w:pPr>
      <w:r>
        <w:t xml:space="preserve">Irchel Campus</w:t>
      </w:r>
    </w:p>
    <w:p>
      <w:pPr>
        <w:pStyle w:val="BodyText"/>
      </w:pPr>
      <w:r>
        <w:t xml:space="preserve">Gloriastrasse 35</w:t>
      </w:r>
    </w:p>
    <w:p>
      <w:pPr>
        <w:pStyle w:val="BodyText"/>
      </w:pPr>
      <w:r>
        <w:t xml:space="preserve">8092 Zurich, Switzerland</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Engineering Services</w:t>
            </w:r>
          </w:p>
        </w:tc>
        <w:tc>
          <w:tcPr/>
          <w:p>
            <w:pPr>
              <w:pStyle w:val="Compact"/>
              <w:jc w:val="left"/>
            </w:pPr>
            <w:r>
              <w:t xml:space="preserve">Hours / Qty</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t xml:space="preserve">1</w:t>
            </w:r>
          </w:p>
        </w:tc>
        <w:tc>
          <w:tcPr/>
          <w:p>
            <w:pPr>
              <w:pStyle w:val="Compact"/>
              <w:jc w:val="left"/>
            </w:pPr>
            <w:r>
              <w:rPr>
                <w:bCs/>
                <w:b/>
              </w:rPr>
              <w:t xml:space="preserve">High-Speed PCB Design &amp; Layout (Zurich HQ)</w:t>
            </w:r>
            <w:r>
              <w:br/>
            </w:r>
            <w:r>
              <w:t xml:space="preserve">Schematic capture and multi-layer PCB layout for the new autonomous navigation module. Adherence to IPC-6012 Class 2 standards. Implementation of differential pair routing for high-speed data buses.</w:t>
            </w:r>
          </w:p>
        </w:tc>
        <w:tc>
          <w:tcPr/>
          <w:p>
            <w:pPr>
              <w:pStyle w:val="Compact"/>
              <w:jc w:val="left"/>
            </w:pPr>
            <w:r>
              <w:t xml:space="preserve">40.0</w:t>
            </w:r>
          </w:p>
        </w:tc>
        <w:tc>
          <w:tcPr/>
          <w:p>
            <w:pPr>
              <w:pStyle w:val="Compact"/>
              <w:jc w:val="left"/>
            </w:pPr>
            <w:r>
              <w:t xml:space="preserve">280.00</w:t>
            </w:r>
          </w:p>
        </w:tc>
        <w:tc>
          <w:tcPr/>
          <w:p>
            <w:pPr>
              <w:pStyle w:val="Compact"/>
              <w:jc w:val="left"/>
            </w:pPr>
            <w:r>
              <w:t xml:space="preserve">11,200.00</w:t>
            </w:r>
          </w:p>
        </w:tc>
      </w:tr>
      <w:tr>
        <w:tc>
          <w:tcPr/>
          <w:p>
            <w:pPr>
              <w:pStyle w:val="Compact"/>
              <w:jc w:val="left"/>
            </w:pPr>
            <w:r>
              <w:t xml:space="preserve">2</w:t>
            </w:r>
          </w:p>
        </w:tc>
        <w:tc>
          <w:tcPr/>
          <w:p>
            <w:pPr>
              <w:pStyle w:val="Compact"/>
              <w:jc w:val="left"/>
            </w:pPr>
            <w:r>
              <w:rPr>
                <w:bCs/>
                <w:b/>
              </w:rPr>
              <w:t xml:space="preserve">EMC/EMI Pre-Compliance Testing</w:t>
            </w:r>
            <w:r>
              <w:br/>
            </w:r>
            <w:r>
              <w:t xml:space="preserve">Conducted and radiated emissions testing performed at the Zurich anechoic chamber facility. Analysis of interference patterns and implementation of filtering solutions to ensure compliance with Swiss Ordinance on Electromagnetic Compatibility (OCEM).</w:t>
            </w:r>
          </w:p>
        </w:tc>
        <w:tc>
          <w:tcPr/>
          <w:p>
            <w:pPr>
              <w:pStyle w:val="Compact"/>
              <w:jc w:val="left"/>
            </w:pPr>
            <w:r>
              <w:t xml:space="preserve">25.0</w:t>
            </w:r>
          </w:p>
        </w:tc>
        <w:tc>
          <w:tcPr/>
          <w:p>
            <w:pPr>
              <w:pStyle w:val="Compact"/>
              <w:jc w:val="left"/>
            </w:pPr>
            <w:r>
              <w:t xml:space="preserve">320.00</w:t>
            </w:r>
          </w:p>
        </w:tc>
        <w:tc>
          <w:tcPr/>
          <w:p>
            <w:pPr>
              <w:pStyle w:val="Compact"/>
              <w:jc w:val="left"/>
            </w:pPr>
            <w:r>
              <w:t xml:space="preserve">8,000.00</w:t>
            </w:r>
          </w:p>
        </w:tc>
      </w:tr>
      <w:tr>
        <w:tc>
          <w:tcPr/>
          <w:p>
            <w:pPr>
              <w:pStyle w:val="Compact"/>
              <w:jc w:val="left"/>
            </w:pPr>
            <w:r>
              <w:t xml:space="preserve">3</w:t>
            </w:r>
          </w:p>
        </w:tc>
        <w:tc>
          <w:tcPr/>
          <w:p>
            <w:pPr>
              <w:pStyle w:val="Compact"/>
              <w:jc w:val="left"/>
            </w:pPr>
            <w:r>
              <w:rPr>
                <w:bCs/>
                <w:b/>
              </w:rPr>
              <w:t xml:space="preserve">Firmware Architecture Consultation</w:t>
            </w:r>
            <w:r>
              <w:br/>
            </w:r>
            <w:r>
              <w:t xml:space="preserve">Review of embedded C++ codebase for power management efficiency. Optimization of interrupt service routines for real-time response in robotic actuators.</w:t>
            </w:r>
          </w:p>
        </w:tc>
        <w:tc>
          <w:tcPr/>
          <w:p>
            <w:pPr>
              <w:pStyle w:val="Compact"/>
              <w:jc w:val="left"/>
            </w:pPr>
            <w:r>
              <w:t xml:space="preserve">15.0</w:t>
            </w:r>
          </w:p>
        </w:tc>
        <w:tc>
          <w:tcPr/>
          <w:p>
            <w:pPr>
              <w:pStyle w:val="Compact"/>
              <w:jc w:val="left"/>
            </w:pPr>
            <w:r>
              <w:t xml:space="preserve">250.00</w:t>
            </w:r>
          </w:p>
        </w:tc>
        <w:tc>
          <w:tcPr/>
          <w:p>
            <w:pPr>
              <w:pStyle w:val="Compact"/>
              <w:jc w:val="left"/>
            </w:pPr>
            <w:r>
              <w:t xml:space="preserve">3,750.00</w:t>
            </w:r>
          </w:p>
        </w:tc>
      </w:tr>
      <w:tr>
        <w:tc>
          <w:tcPr/>
          <w:p>
            <w:pPr>
              <w:pStyle w:val="Compact"/>
              <w:jc w:val="left"/>
            </w:pPr>
            <w:r>
              <w:t xml:space="preserve">4</w:t>
            </w:r>
          </w:p>
        </w:tc>
        <w:tc>
          <w:tcPr/>
          <w:p>
            <w:pPr>
              <w:pStyle w:val="Compact"/>
              <w:jc w:val="left"/>
            </w:pPr>
            <w:r>
              <w:rPr>
                <w:bCs/>
                <w:b/>
              </w:rPr>
              <w:t xml:space="preserve">Component Sourcing &amp; Supply Chain Analysis</w:t>
            </w:r>
            <w:r>
              <w:br/>
            </w:r>
            <w:r>
              <w:t xml:space="preserve">Identification of alternative components for critical ICs to mitigate global supply chain shortages. Verification of RoHS compliance for all selected parts intended for the European market.</w:t>
            </w:r>
          </w:p>
        </w:tc>
        <w:tc>
          <w:tcPr/>
          <w:p>
            <w:pPr>
              <w:pStyle w:val="Compact"/>
              <w:jc w:val="left"/>
            </w:pPr>
            <w:r>
              <w:t xml:space="preserve">10.0</w:t>
            </w:r>
          </w:p>
        </w:tc>
        <w:tc>
          <w:tcPr/>
          <w:p>
            <w:pPr>
              <w:pStyle w:val="Compact"/>
              <w:jc w:val="left"/>
            </w:pPr>
            <w:r>
              <w:t xml:space="preserve">220.00</w:t>
            </w:r>
          </w:p>
        </w:tc>
        <w:tc>
          <w:tcPr/>
          <w:p>
            <w:pPr>
              <w:pStyle w:val="Compact"/>
              <w:jc w:val="left"/>
            </w:pPr>
            <w:r>
              <w:t xml:space="preserve">2,200.00</w:t>
            </w:r>
          </w:p>
        </w:tc>
      </w:tr>
      <w:tr>
        <w:tc>
          <w:tcPr/>
          <w:p>
            <w:pPr>
              <w:pStyle w:val="Compact"/>
              <w:jc w:val="left"/>
            </w:pPr>
            <w:r>
              <w:t xml:space="preserve">5</w:t>
            </w:r>
          </w:p>
        </w:tc>
        <w:tc>
          <w:tcPr/>
          <w:p>
            <w:pPr>
              <w:pStyle w:val="Compact"/>
              <w:jc w:val="left"/>
            </w:pPr>
            <w:r>
              <w:rPr>
                <w:bCs/>
                <w:b/>
              </w:rPr>
              <w:t xml:space="preserve">Technical Documentation &amp; Handover</w:t>
            </w:r>
            <w:r>
              <w:br/>
            </w:r>
            <w:r>
              <w:t xml:space="preserve">Creation of Gerber files, BOM (Bill of Materials), and assembly drawings. Final engineering report detailing design decisions and test results, formatted according to ISO 9001 quality management standards.</w:t>
            </w:r>
          </w:p>
        </w:tc>
        <w:tc>
          <w:tcPr/>
          <w:p>
            <w:pPr>
              <w:pStyle w:val="Compact"/>
              <w:jc w:val="left"/>
            </w:pPr>
            <w:r>
              <w:t xml:space="preserve">12.0</w:t>
            </w:r>
          </w:p>
        </w:tc>
        <w:tc>
          <w:tcPr/>
          <w:p>
            <w:pPr>
              <w:pStyle w:val="Compact"/>
              <w:jc w:val="left"/>
            </w:pPr>
            <w:r>
              <w:t xml:space="preserve">200.00</w:t>
            </w:r>
          </w:p>
        </w:tc>
        <w:tc>
          <w:tcPr/>
          <w:p>
            <w:pPr>
              <w:pStyle w:val="Compact"/>
              <w:jc w:val="left"/>
            </w:pPr>
            <w:r>
              <w:t xml:space="preserve">2,400.00</w:t>
            </w:r>
          </w:p>
        </w:tc>
      </w:tr>
    </w:tbl>
    <w:p>
      <w:pPr>
        <w:pStyle w:val="BodyText"/>
      </w:pPr>
      <w:r>
        <w:t xml:space="preserve">Subtotal</w:t>
      </w:r>
      <w:r>
        <w:t xml:space="preserve"> </w:t>
      </w:r>
      <w:r>
        <w:t xml:space="preserve">27,550.00 CHF</w:t>
      </w:r>
    </w:p>
    <w:p>
      <w:pPr>
        <w:pStyle w:val="BodyText"/>
      </w:pPr>
      <w:r>
        <w:t xml:space="preserve">VAT (7.7% - Standard Rate Switzerland)</w:t>
      </w:r>
      <w:r>
        <w:t xml:space="preserve"> </w:t>
      </w:r>
      <w:r>
        <w:t xml:space="preserve">2,121.35 CHF</w:t>
      </w:r>
    </w:p>
    <w:p>
      <w:pPr>
        <w:pStyle w:val="BodyText"/>
      </w:pPr>
      <w:r>
        <w:t xml:space="preserve">Total Due</w:t>
      </w:r>
      <w:r>
        <w:t xml:space="preserve"> </w:t>
      </w:r>
      <w:r>
        <w:t xml:space="preserve">29,671.35 CHF</w:t>
      </w:r>
    </w:p>
    <w:bookmarkStart w:id="24" w:name="X7c284cb4b8523f2391e6583c95010bab028d47a"/>
    <w:p>
      <w:pPr>
        <w:pStyle w:val="Heading4"/>
      </w:pPr>
      <w:r>
        <w:t xml:space="preserve">Terms and Conditions &amp; Payment Instructions</w:t>
      </w:r>
    </w:p>
    <w:p>
      <w:pPr>
        <w:pStyle w:val="FirstParagraph"/>
      </w:pPr>
      <w:r>
        <w:rPr>
          <w:bCs/>
          <w:b/>
        </w:rPr>
        <w:t xml:space="preserve">1. Payment Terms:</w:t>
      </w:r>
      <w:r>
        <w:t xml:space="preserve"> </w:t>
      </w:r>
      <w:r>
        <w:t xml:space="preserve">Payment is due within 30 days of the invoice date. Please include the invoice number (INV-2023-10-042) as the reference for your bank transfer.</w:t>
      </w:r>
    </w:p>
    <w:p>
      <w:pPr>
        <w:pStyle w:val="BodyText"/>
      </w:pPr>
      <w:r>
        <w:rPr>
          <w:bCs/>
          <w:b/>
        </w:rPr>
        <w:t xml:space="preserve">2. Currency:</w:t>
      </w:r>
      <w:r>
        <w:t xml:space="preserve"> </w:t>
      </w:r>
      <w:r>
        <w:t xml:space="preserve">All amounts are quoted in Swiss Francs (CHF).</w:t>
      </w:r>
    </w:p>
    <w:p>
      <w:pPr>
        <w:pStyle w:val="BodyText"/>
      </w:pPr>
      <w:r>
        <w:rPr>
          <w:bCs/>
          <w:b/>
        </w:rPr>
        <w:t xml:space="preserve">3. Late Payment:</w:t>
      </w:r>
      <w:r>
        <w:t xml:space="preserve"> </w:t>
      </w:r>
      <w:r>
        <w:t xml:space="preserve">In accordance with Article 104 of the Swiss Code of Obligations (CO), late payments will incur interest at the statutory rate of 5% per annum from the due date.</w:t>
      </w:r>
    </w:p>
    <w:p>
      <w:pPr>
        <w:pStyle w:val="BodyText"/>
      </w:pPr>
      <w:r>
        <w:rPr>
          <w:bCs/>
          <w:b/>
        </w:rPr>
        <w:t xml:space="preserve">4. Service Scope:</w:t>
      </w:r>
      <w:r>
        <w:t xml:space="preserve"> </w:t>
      </w:r>
      <w:r>
        <w:t xml:space="preserve">This invoice covers professional services provided by a certified Electronics Engineer based in Zurich. All engineering work has been performed with due diligence and in accordance with the technical specifications agreed upon in the Statement of Work (SOW) dated September 15, 2023.</w:t>
      </w:r>
    </w:p>
    <w:p>
      <w:pPr>
        <w:pStyle w:val="BodyText"/>
      </w:pPr>
      <w:r>
        <w:rPr>
          <w:bCs/>
          <w:b/>
        </w:rPr>
        <w:t xml:space="preserve">5. Intellectual Property:</w:t>
      </w:r>
      <w:r>
        <w:t xml:space="preserve"> </w:t>
      </w:r>
      <w:r>
        <w:t xml:space="preserve">Upon full payment of this invoice, all intellectual property rights regarding the specific designs, schematics, and firmware optimizations detailed herein shall be transferred to Swiss Advanced Robotics GmbH.</w:t>
      </w:r>
    </w:p>
    <w:p>
      <w:pPr>
        <w:pStyle w:val="BodyText"/>
      </w:pPr>
      <w:r>
        <w:rPr>
          <w:bCs/>
          <w:b/>
        </w:rPr>
        <w:t xml:space="preserve">6. Dispute Resolution:</w:t>
      </w:r>
      <w:r>
        <w:t xml:space="preserve"> </w:t>
      </w:r>
      <w:r>
        <w:t xml:space="preserve">Any disputes arising from this invoice or the services rendered shall be subject to the exclusive jurisdiction of the courts of Zurich, Switzerland.</w:t>
      </w:r>
    </w:p>
    <w:p>
      <w:pPr>
        <w:pStyle w:val="BodyText"/>
      </w:pPr>
      <w:r>
        <w:rPr>
          <w:bCs/>
          <w:b/>
        </w:rPr>
        <w:t xml:space="preserve">7. Contact:</w:t>
      </w:r>
      <w:r>
        <w:t xml:space="preserve"> </w:t>
      </w:r>
      <w:r>
        <w:t xml:space="preserve">For any questions regarding this invoice, please contact our finance department at finance@zurichprecision.ch or call +41 44 123 45 68.</w:t>
      </w:r>
    </w:p>
    <w:bookmarkEnd w:id="24"/>
    <w:p>
      <w:pPr>
        <w:pStyle w:val="BodyText"/>
      </w:pPr>
      <w:r>
        <w:rPr>
          <w:bCs/>
          <w:b/>
        </w:rPr>
        <w:t xml:space="preserve">Dr. Hans Müller</w:t>
      </w:r>
      <w:r>
        <w:br/>
      </w:r>
      <w:r>
        <w:t xml:space="preserve">Senior Electronics Engineer</w:t>
      </w:r>
      <w:r>
        <w:br/>
      </w:r>
      <w:r>
        <w:t xml:space="preserve">Zurich Precision Electronics AG</w:t>
      </w:r>
    </w:p>
    <w:p>
      <w:pPr>
        <w:pStyle w:val="BodyText"/>
      </w:pPr>
      <w:r>
        <w:t xml:space="preserve">Zurich Precision Electronics AG | Bahnhofstrasse 42, 8001 Zurich, Switzerland | CHE-123.456.789</w:t>
      </w:r>
    </w:p>
    <w:p>
      <w:pPr>
        <w:pStyle w:val="BodyText"/>
      </w:pPr>
      <w:r>
        <w:t xml:space="preserve">Thank you for your business. We appreciate your trust in our engineering expertise.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Electronics Engineering Services</dc:title>
  <dc:creator/>
  <dc:language>en</dc:language>
  <cp:keywords/>
  <dcterms:created xsi:type="dcterms:W3CDTF">2026-10-10T05:07:17Z</dcterms:created>
  <dcterms:modified xsi:type="dcterms:W3CDTF">2026-10-10T05:07:17Z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