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apex-circuit-solutions"/>
    <w:p>
      <w:pPr>
        <w:pStyle w:val="Heading1"/>
      </w:pPr>
      <w:r>
        <w:t xml:space="preserve">Apex Circuit Solutions</w:t>
      </w:r>
    </w:p>
    <w:p>
      <w:pPr>
        <w:pStyle w:val="FirstParagraph"/>
      </w:pPr>
      <w:r>
        <w:t xml:space="preserve">Professional Electronics Engineering Services</w:t>
      </w:r>
    </w:p>
    <w:p>
      <w:pPr>
        <w:pStyle w:val="BodyText"/>
      </w:pPr>
      <w:r>
        <w:t xml:space="preserve">1200 Brickell Avenue, Suite 400</w:t>
      </w:r>
    </w:p>
    <w:p>
      <w:pPr>
        <w:pStyle w:val="BodyText"/>
      </w:pPr>
      <w:r>
        <w:t xml:space="preserve">Miami, FL 33131, United States</w:t>
      </w:r>
    </w:p>
    <w:p>
      <w:pPr>
        <w:pStyle w:val="BodyText"/>
      </w:pPr>
      <w:r>
        <w:t xml:space="preserve">Tel: (305) 555-0199 | Email: billing@apexcircuit.com</w:t>
      </w:r>
    </w:p>
    <w:bookmarkEnd w:id="20"/>
    <w:bookmarkStart w:id="21" w:name="invoice"/>
    <w:p>
      <w:pPr>
        <w:pStyle w:val="Heading2"/>
      </w:pPr>
      <w:r>
        <w:t xml:space="preserve">INVOICE</w:t>
      </w:r>
    </w:p>
    <w:p>
      <w:pPr>
        <w:pStyle w:val="FirstParagraph"/>
      </w:pPr>
      <w:r>
        <w:t xml:space="preserve">Invoice #:</w:t>
      </w:r>
      <w:r>
        <w:t xml:space="preserve"> </w:t>
      </w:r>
      <w:r>
        <w:t xml:space="preserve">INV-2023-10-884</w:t>
      </w:r>
    </w:p>
    <w:p>
      <w:pPr>
        <w:pStyle w:val="BodyText"/>
      </w:pPr>
      <w:r>
        <w:t xml:space="preserve">Date Issued:</w:t>
      </w:r>
      <w:r>
        <w:t xml:space="preserve"> </w:t>
      </w:r>
      <w:r>
        <w:t xml:space="preserve">October 24, 2023</w:t>
      </w:r>
    </w:p>
    <w:p>
      <w:pPr>
        <w:pStyle w:val="BodyText"/>
      </w:pPr>
      <w:r>
        <w:t xml:space="preserve">Due Date:</w:t>
      </w:r>
      <w:r>
        <w:t xml:space="preserve"> </w:t>
      </w:r>
      <w:r>
        <w:t xml:space="preserve">November 24, 2023</w:t>
      </w:r>
    </w:p>
    <w:p>
      <w:pPr>
        <w:pStyle w:val="BodyText"/>
      </w:pPr>
      <w: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Quantum Dynamics Corp.</w:t>
      </w:r>
    </w:p>
    <w:p>
      <w:pPr>
        <w:pStyle w:val="BodyText"/>
      </w:pPr>
      <w:r>
        <w:t xml:space="preserve">Attn: Procurement Department</w:t>
      </w:r>
    </w:p>
    <w:p>
      <w:pPr>
        <w:pStyle w:val="BodyText"/>
      </w:pPr>
      <w:r>
        <w:t xml:space="preserve">800 SW 1st Avenue</w:t>
      </w:r>
    </w:p>
    <w:p>
      <w:pPr>
        <w:pStyle w:val="BodyText"/>
      </w:pPr>
      <w:r>
        <w:t xml:space="preserve">Miami, FL 33130, United States</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IoT Sensor Array Integration</w:t>
      </w:r>
    </w:p>
    <w:p>
      <w:pPr>
        <w:pStyle w:val="BodyText"/>
      </w:pPr>
      <w:r>
        <w:rPr>
          <w:bCs/>
          <w:b/>
        </w:rPr>
        <w:t xml:space="preserve">Location:</w:t>
      </w:r>
      <w:r>
        <w:t xml:space="preserve"> </w:t>
      </w:r>
      <w:r>
        <w:t xml:space="preserve">Miami Design Center</w:t>
      </w:r>
    </w:p>
    <w:p>
      <w:pPr>
        <w:pStyle w:val="BodyText"/>
      </w:pPr>
      <w:r>
        <w:rPr>
          <w:bCs/>
          <w:b/>
        </w:rPr>
        <w:t xml:space="preserve">Contract Ref:</w:t>
      </w:r>
      <w:r>
        <w:t xml:space="preserve"> </w:t>
      </w:r>
      <w:r>
        <w:t xml:space="preserve">QD-ENG-2023-05</w:t>
      </w:r>
    </w:p>
    <w:p>
      <w:pPr>
        <w:pStyle w:val="BodyText"/>
      </w:pPr>
      <w:r>
        <w:rPr>
          <w:bCs/>
          <w:b/>
        </w:rPr>
        <w:t xml:space="preserve">Service Provider:</w:t>
      </w:r>
      <w:r>
        <w:t xml:space="preserve"> </w:t>
      </w:r>
      <w:r>
        <w:t xml:space="preserve">Senior Electronics Engineer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PCB Schematic Design &amp; Simulation</w:t>
            </w:r>
            <w:r>
              <w:br/>
            </w:r>
            <w:r>
              <w:t xml:space="preserve">Comprehensive schematic capture for the main control board using Altium Designer. Includes power integrity analysis and signal integrity simulation to ensure compliance with FCC Part 15 regulations for devices operating in the United States market.</w:t>
            </w:r>
          </w:p>
        </w:tc>
        <w:tc>
          <w:tcPr/>
          <w:p>
            <w:pPr>
              <w:pStyle w:val="Compact"/>
              <w:jc w:val="left"/>
            </w:pPr>
            <w:r>
              <w:t xml:space="preserve">40.0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Hardware Prototyping &amp; Assembly</w:t>
            </w:r>
            <w:r>
              <w:br/>
            </w:r>
            <w:r>
              <w:t xml:space="preserve">Fabrication of 5 prototype units. Sourcing of components from authorized distributors to ensure reliability. Manual assembly and soldering of surface-mount devices (SMD) and through-hole components. Initial power-on testing performed at the Miami facility.</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Firmware Development &amp; Integration</w:t>
            </w:r>
            <w:r>
              <w:br/>
            </w:r>
            <w:r>
              <w:t xml:space="preserve">Embedded C programming for the STM32 microcontroller. Implementation of I2C and SPI communication protocols for sensor data acquisition. Integration of low-power sleep modes to optimize battery life for field deployment.</w:t>
            </w:r>
          </w:p>
        </w:tc>
        <w:tc>
          <w:tcPr/>
          <w:p>
            <w:pPr>
              <w:pStyle w:val="Compact"/>
              <w:jc w:val="left"/>
            </w:pPr>
            <w:r>
              <w:t xml:space="preserve">32.0</w:t>
            </w:r>
          </w:p>
        </w:tc>
        <w:tc>
          <w:tcPr/>
          <w:p>
            <w:pPr>
              <w:pStyle w:val="Compact"/>
              <w:jc w:val="left"/>
            </w:pPr>
            <w:r>
              <w:t xml:space="preserve">$140.00</w:t>
            </w:r>
          </w:p>
        </w:tc>
        <w:tc>
          <w:tcPr/>
          <w:p>
            <w:pPr>
              <w:pStyle w:val="Compact"/>
              <w:jc w:val="left"/>
            </w:pPr>
            <w:r>
              <w:t xml:space="preserve">$4,480.00</w:t>
            </w:r>
          </w:p>
        </w:tc>
      </w:tr>
      <w:tr>
        <w:tc>
          <w:tcPr/>
          <w:p>
            <w:pPr>
              <w:pStyle w:val="Compact"/>
              <w:jc w:val="left"/>
            </w:pPr>
            <w:r>
              <w:t xml:space="preserve">4</w:t>
            </w:r>
          </w:p>
        </w:tc>
        <w:tc>
          <w:tcPr/>
          <w:p>
            <w:pPr>
              <w:pStyle w:val="Compact"/>
              <w:jc w:val="left"/>
            </w:pPr>
            <w:r>
              <w:rPr>
                <w:bCs/>
                <w:b/>
              </w:rPr>
              <w:t xml:space="preserve">EMC/EMI Pre-Compliance Testing</w:t>
            </w:r>
            <w:r>
              <w:br/>
            </w:r>
            <w:r>
              <w:t xml:space="preserve">Conducted electromagnetic compatibility testing in a semi-anechoic chamber. Identified and mitigated noise issues on the power rails. Adjusted PCB layout to reduce radiated emissions, ensuring the device meets strict United States federal standards for electronic equipment.</w:t>
            </w:r>
          </w:p>
        </w:tc>
        <w:tc>
          <w:tcPr/>
          <w:p>
            <w:pPr>
              <w:pStyle w:val="Compact"/>
              <w:jc w:val="left"/>
            </w:pPr>
            <w:r>
              <w:t xml:space="preserve">16.0</w:t>
            </w:r>
          </w:p>
        </w:tc>
        <w:tc>
          <w:tcPr/>
          <w:p>
            <w:pPr>
              <w:pStyle w:val="Compact"/>
              <w:jc w:val="left"/>
            </w:pPr>
            <w:r>
              <w:t xml:space="preserve">$160.00</w:t>
            </w:r>
          </w:p>
        </w:tc>
        <w:tc>
          <w:tcPr/>
          <w:p>
            <w:pPr>
              <w:pStyle w:val="Compact"/>
              <w:jc w:val="left"/>
            </w:pPr>
            <w:r>
              <w:t xml:space="preserve">$2,560.00</w:t>
            </w:r>
          </w:p>
        </w:tc>
      </w:tr>
      <w:tr>
        <w:tc>
          <w:tcPr/>
          <w:p>
            <w:pPr>
              <w:pStyle w:val="Compact"/>
              <w:jc w:val="left"/>
            </w:pPr>
            <w:r>
              <w:t xml:space="preserve">5</w:t>
            </w:r>
          </w:p>
        </w:tc>
        <w:tc>
          <w:tcPr/>
          <w:p>
            <w:pPr>
              <w:pStyle w:val="Compact"/>
              <w:jc w:val="left"/>
            </w:pPr>
            <w:r>
              <w:rPr>
                <w:bCs/>
                <w:b/>
              </w:rPr>
              <w:t xml:space="preserve">Technical Documentation &amp; Handover</w:t>
            </w:r>
            <w:r>
              <w:br/>
            </w:r>
            <w:r>
              <w:t xml:space="preserve">Creation of Gerber files, BOM (Bill of Materials), assembly drawings, and user manuals. Detailed report on test results and engineering change orders (ECOs). Final review meeting held in Miami, FL.</w:t>
            </w:r>
          </w:p>
        </w:tc>
        <w:tc>
          <w:tcPr/>
          <w:p>
            <w:pPr>
              <w:pStyle w:val="Compact"/>
              <w:jc w:val="left"/>
            </w:pPr>
            <w:r>
              <w:t xml:space="preserve">12.0</w:t>
            </w:r>
          </w:p>
        </w:tc>
        <w:tc>
          <w:tcPr/>
          <w:p>
            <w:pPr>
              <w:pStyle w:val="Compact"/>
              <w:jc w:val="left"/>
            </w:pPr>
            <w:r>
              <w:t xml:space="preserve">$130.00</w:t>
            </w:r>
          </w:p>
        </w:tc>
        <w:tc>
          <w:tcPr/>
          <w:p>
            <w:pPr>
              <w:pStyle w:val="Compact"/>
              <w:jc w:val="left"/>
            </w:pPr>
            <w:r>
              <w:t xml:space="preserve">$1,560.00</w:t>
            </w:r>
          </w:p>
        </w:tc>
      </w:tr>
    </w:tbl>
    <w:p>
      <w:pPr>
        <w:pStyle w:val="BodyText"/>
      </w:pPr>
      <w:r>
        <w:t xml:space="preserve">Subtotal:</w:t>
      </w:r>
      <w:r>
        <w:t xml:space="preserve"> </w:t>
      </w:r>
      <w:r>
        <w:t xml:space="preserve">$17,100.00</w:t>
      </w:r>
    </w:p>
    <w:p>
      <w:pPr>
        <w:pStyle w:val="BodyText"/>
      </w:pPr>
      <w:r>
        <w:t xml:space="preserve">Tax (FL State &amp; Miami-Dade County):</w:t>
      </w:r>
      <w:r>
        <w:t xml:space="preserve"> </w:t>
      </w:r>
      <w:r>
        <w:t xml:space="preserve">$1,368.00</w:t>
      </w:r>
    </w:p>
    <w:p>
      <w:pPr>
        <w:pStyle w:val="BodyText"/>
      </w:pPr>
      <w:r>
        <w:t xml:space="preserve">Total Due:</w:t>
      </w:r>
      <w:r>
        <w:t xml:space="preserve"> </w:t>
      </w:r>
      <w:r>
        <w:t xml:space="preserve">$18,468.00</w:t>
      </w:r>
    </w:p>
    <w:bookmarkStart w:id="24" w:name="payment-instructions"/>
    <w:p>
      <w:pPr>
        <w:pStyle w:val="Heading4"/>
      </w:pPr>
      <w:r>
        <w:t xml:space="preserve">Payment Instructions</w:t>
      </w:r>
    </w:p>
    <w:p>
      <w:pPr>
        <w:pStyle w:val="FirstParagraph"/>
      </w:pPr>
      <w:r>
        <w:t xml:space="preserve">Please remit payment via wire transfer or ACH to the following account:</w:t>
      </w:r>
    </w:p>
    <w:p>
      <w:pPr>
        <w:pStyle w:val="BodyText"/>
      </w:pPr>
      <w:r>
        <w:rPr>
          <w:bCs/>
          <w:b/>
        </w:rPr>
        <w:t xml:space="preserve">Bank Name:</w:t>
      </w:r>
      <w:r>
        <w:t xml:space="preserve"> </w:t>
      </w:r>
      <w:r>
        <w:t xml:space="preserve">Bank of America, Miami Branch</w:t>
      </w:r>
    </w:p>
    <w:p>
      <w:pPr>
        <w:pStyle w:val="BodyText"/>
      </w:pPr>
      <w:r>
        <w:rPr>
          <w:bCs/>
          <w:b/>
        </w:rPr>
        <w:t xml:space="preserve">Account Name:</w:t>
      </w:r>
      <w:r>
        <w:t xml:space="preserve"> </w:t>
      </w:r>
      <w:r>
        <w:t xml:space="preserve">Apex Circuit Solutions LLC</w:t>
      </w:r>
    </w:p>
    <w:p>
      <w:pPr>
        <w:pStyle w:val="BodyText"/>
      </w:pPr>
      <w:r>
        <w:rPr>
          <w:bCs/>
          <w:b/>
        </w:rPr>
        <w:t xml:space="preserve">Routing Number:</w:t>
      </w:r>
      <w:r>
        <w:t xml:space="preserve"> </w:t>
      </w:r>
      <w:r>
        <w:t xml:space="preserve">026009593</w:t>
      </w:r>
    </w:p>
    <w:p>
      <w:pPr>
        <w:pStyle w:val="BodyText"/>
      </w:pPr>
      <w:r>
        <w:rPr>
          <w:bCs/>
          <w:b/>
        </w:rPr>
        <w:t xml:space="preserve">Account Number:</w:t>
      </w:r>
      <w:r>
        <w:t xml:space="preserve"> </w:t>
      </w:r>
      <w:r>
        <w:t xml:space="preserve">123456789012</w:t>
      </w:r>
    </w:p>
    <w:p>
      <w:pPr>
        <w:pStyle w:val="BodyText"/>
      </w:pPr>
      <w:r>
        <w:rPr>
          <w:bCs/>
          <w:b/>
        </w:rPr>
        <w:t xml:space="preserve">Reference:</w:t>
      </w:r>
      <w:r>
        <w:t xml:space="preserve"> </w:t>
      </w:r>
      <w:r>
        <w:t xml:space="preserve">Please include Invoice #INV-2023-10-884 in the memo line.</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may incur a penalty fee of 1.5% per month on the outstanding balance, in accordance with Florida state law.</w:t>
      </w:r>
    </w:p>
    <w:p>
      <w:pPr>
        <w:pStyle w:val="BodyText"/>
      </w:pPr>
      <w:r>
        <w:t xml:space="preserve">2.</w:t>
      </w:r>
      <w:r>
        <w:t xml:space="preserve"> </w:t>
      </w:r>
      <w:r>
        <w:rPr>
          <w:bCs/>
          <w:b/>
        </w:rPr>
        <w:t xml:space="preserve">Scope of Work:</w:t>
      </w:r>
      <w:r>
        <w:t xml:space="preserve"> </w:t>
      </w:r>
      <w:r>
        <w:t xml:space="preserve">This Invoice covers the specific services rendered by the Electronics Engineer as detailed above. Any additional work requested outside the original scope will be billed separately at the prevailing hourly rate.</w:t>
      </w:r>
    </w:p>
    <w:p>
      <w:pPr>
        <w:pStyle w:val="BodyText"/>
      </w:pPr>
      <w:r>
        <w:t xml:space="preserve">3.</w:t>
      </w:r>
      <w:r>
        <w:t xml:space="preserve"> </w:t>
      </w:r>
      <w:r>
        <w:rPr>
          <w:bCs/>
          <w:b/>
        </w:rPr>
        <w:t xml:space="preserve">Intellectual Property:</w:t>
      </w:r>
      <w:r>
        <w:t xml:space="preserve"> </w:t>
      </w:r>
      <w:r>
        <w:t xml:space="preserve">Upon full payment of this Invoice, all intellectual property rights, including schematics, firmware code, and design files, will be transferred to the client.</w:t>
      </w:r>
    </w:p>
    <w:p>
      <w:pPr>
        <w:pStyle w:val="BodyText"/>
      </w:pPr>
      <w:r>
        <w:t xml:space="preserve">4.</w:t>
      </w:r>
      <w:r>
        <w:t xml:space="preserve"> </w:t>
      </w:r>
      <w:r>
        <w:rPr>
          <w:bCs/>
          <w:b/>
        </w:rPr>
        <w:t xml:space="preserve">Compliance:</w:t>
      </w:r>
      <w:r>
        <w:t xml:space="preserve"> </w:t>
      </w:r>
      <w:r>
        <w:t xml:space="preserve">All engineering services provided adhere to the National Electrical Code (NEC) and relevant United States safety standards.</w:t>
      </w:r>
    </w:p>
    <w:p>
      <w:pPr>
        <w:pStyle w:val="BodyText"/>
      </w:pPr>
      <w:r>
        <w:t xml:space="preserve">5.</w:t>
      </w:r>
      <w:r>
        <w:t xml:space="preserve"> </w:t>
      </w:r>
      <w:r>
        <w:rPr>
          <w:bCs/>
          <w:b/>
        </w:rPr>
        <w:t xml:space="preserve">Dispute Resolution:</w:t>
      </w:r>
      <w:r>
        <w:t xml:space="preserve"> </w:t>
      </w:r>
      <w:r>
        <w:t xml:space="preserve">Any disputes arising from this Invoice shall be resolved through binding arbitration in Miami-Dade County, Florida.</w:t>
      </w:r>
    </w:p>
    <w:bookmarkEnd w:id="25"/>
    <w:p>
      <w:pPr>
        <w:pStyle w:val="BodyText"/>
      </w:pPr>
      <w:r>
        <w:t xml:space="preserve">Authorized Signature (Provider)</w:t>
      </w:r>
      <w:r>
        <w:br/>
      </w:r>
      <w:r>
        <w:rPr>
          <w:iCs/>
          <w:i/>
        </w:rPr>
        <w:t xml:space="preserve">John Doe, Senior Electronics Engineer</w:t>
      </w:r>
      <w:r>
        <w:br/>
      </w:r>
      <w:r>
        <w:t xml:space="preserve">Apex Circuit Solutions</w:t>
      </w:r>
    </w:p>
    <w:p>
      <w:pPr>
        <w:pStyle w:val="BodyText"/>
      </w:pPr>
      <w:r>
        <w:t xml:space="preserve">Authorized Signature (Client)</w:t>
      </w:r>
      <w:r>
        <w:br/>
      </w:r>
      <w:r>
        <w:rPr>
          <w:iCs/>
          <w:i/>
        </w:rPr>
        <w:t xml:space="preserve">Jane Smith, Procurement Manager</w:t>
      </w:r>
      <w:r>
        <w:br/>
      </w:r>
      <w:r>
        <w:t xml:space="preserve">Quantum Dynamics Corp.</w:t>
      </w:r>
    </w:p>
    <w:p>
      <w:pPr>
        <w:pStyle w:val="BodyText"/>
      </w:pPr>
      <w:r>
        <w:t xml:space="preserve">Thank you for your business. We appreciate the opportunity to serve your engineering needs in Miami and throughout the United States.</w:t>
      </w:r>
    </w:p>
    <w:p>
      <w:pPr>
        <w:pStyle w:val="BodyText"/>
      </w:pPr>
      <w:r>
        <w:t xml:space="preserve">Apex Circuit Solutions LLC | 1200 Brickell Avenue, Suite 400, Miami, FL 33131 | (305) 555-0199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2026-10-10T01:15:16Z</dcterms:created>
  <dcterms:modified xsi:type="dcterms:W3CDTF">2026-10-10T01:15:16Z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