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Electronics</w:t>
      </w:r>
      <w:r>
        <w:t xml:space="preserve"> </w:t>
      </w:r>
      <w:r>
        <w:t xml:space="preserve">Engineering</w:t>
      </w:r>
      <w:r>
        <w:t xml:space="preserve"> </w:t>
      </w:r>
      <w:r>
        <w:t xml:space="preserve">Services</w:t>
      </w:r>
    </w:p>
    <w:bookmarkStart w:id="20" w:name="apex-circuit-solutions"/>
    <w:p>
      <w:pPr>
        <w:pStyle w:val="Heading1"/>
      </w:pPr>
      <w:r>
        <w:t xml:space="preserve">Apex Circuit Solutions</w:t>
      </w:r>
    </w:p>
    <w:p>
      <w:pPr>
        <w:pStyle w:val="FirstParagraph"/>
      </w:pPr>
      <w:r>
        <w:t xml:space="preserve">Specialized Electronics Engineering &amp; Design</w:t>
      </w:r>
    </w:p>
    <w:p>
      <w:pPr>
        <w:pStyle w:val="BodyText"/>
      </w:pPr>
      <w:r>
        <w:t xml:space="preserve">1234 Market Street, Suite 500</w:t>
      </w:r>
    </w:p>
    <w:p>
      <w:pPr>
        <w:pStyle w:val="BodyText"/>
      </w:pPr>
      <w:r>
        <w:t xml:space="preserve">San Francisco, CA 94103</w:t>
      </w:r>
    </w:p>
    <w:p>
      <w:pPr>
        <w:pStyle w:val="BodyText"/>
      </w:pPr>
      <w:r>
        <w:t xml:space="preserve">United States</w:t>
      </w:r>
    </w:p>
    <w:p>
      <w:pPr>
        <w:pStyle w:val="BodyText"/>
      </w:pPr>
      <w:r>
        <w:t xml:space="preserve">Tel: (415) 555-0199 | Email: billing@apexcircuit.com</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INV-2023-10-884</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w:t>
      </w:r>
    </w:p>
    <w:bookmarkEnd w:id="21"/>
    <w:bookmarkStart w:id="22" w:name="bill-to"/>
    <w:p>
      <w:pPr>
        <w:pStyle w:val="Heading3"/>
      </w:pPr>
      <w:r>
        <w:t xml:space="preserve">Bill To:</w:t>
      </w:r>
    </w:p>
    <w:p>
      <w:pPr>
        <w:pStyle w:val="FirstParagraph"/>
      </w:pPr>
      <w:r>
        <w:rPr>
          <w:bCs/>
          <w:b/>
        </w:rPr>
        <w:t xml:space="preserve">NextGen Robotics Inc.</w:t>
      </w:r>
    </w:p>
    <w:p>
      <w:pPr>
        <w:pStyle w:val="BodyText"/>
      </w:pPr>
      <w:r>
        <w:t xml:space="preserve">Attn: Procurement Department</w:t>
      </w:r>
    </w:p>
    <w:p>
      <w:pPr>
        <w:pStyle w:val="BodyText"/>
      </w:pPr>
      <w:r>
        <w:t xml:space="preserve">500 Montgomery Street, Floor 12</w:t>
      </w:r>
    </w:p>
    <w:p>
      <w:pPr>
        <w:pStyle w:val="BodyText"/>
      </w:pPr>
      <w:r>
        <w:t xml:space="preserve">San Francisco, CA 94111</w:t>
      </w:r>
    </w:p>
    <w:p>
      <w:pPr>
        <w:pStyle w:val="BodyText"/>
      </w:pPr>
      <w:r>
        <w:t xml:space="preserve">United States</w:t>
      </w:r>
    </w:p>
    <w:p>
      <w:pPr>
        <w:pStyle w:val="BodyText"/>
      </w:pPr>
      <w:r>
        <w:t xml:space="preserve">Client ID: NG-R-992</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 Qty</w:t>
            </w:r>
          </w:p>
        </w:tc>
        <w:tc>
          <w:tcPr/>
          <w:p>
            <w:pPr>
              <w:pStyle w:val="Compact"/>
              <w:jc w:val="left"/>
            </w:pPr>
            <w:r>
              <w:t xml:space="preserve">Hours / Units</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PCB Layout &amp; Design Optimization</w:t>
            </w:r>
            <w:r>
              <w:br/>
            </w:r>
            <w:r>
              <w:t xml:space="preserve">Schematic capture and multi-layer PCB layout for the autonomous navigation module. Includes impedance matching for high-speed differential pairs and thermal analysis for power management ICs.</w:t>
            </w:r>
          </w:p>
        </w:tc>
        <w:tc>
          <w:tcPr/>
          <w:p>
            <w:pPr>
              <w:pStyle w:val="Compact"/>
              <w:jc w:val="left"/>
            </w:pPr>
            <w:r>
              <w:t xml:space="preserve">$185.00 / hr</w:t>
            </w:r>
          </w:p>
        </w:tc>
        <w:tc>
          <w:tcPr/>
          <w:p>
            <w:pPr>
              <w:pStyle w:val="Compact"/>
              <w:jc w:val="left"/>
            </w:pPr>
            <w:r>
              <w:t xml:space="preserve">24.0</w:t>
            </w:r>
          </w:p>
        </w:tc>
        <w:tc>
          <w:tcPr/>
          <w:p>
            <w:pPr>
              <w:pStyle w:val="Compact"/>
              <w:jc w:val="left"/>
            </w:pPr>
            <w:r>
              <w:t xml:space="preserve">$4,440.00</w:t>
            </w:r>
          </w:p>
        </w:tc>
      </w:tr>
      <w:tr>
        <w:tc>
          <w:tcPr/>
          <w:p>
            <w:pPr>
              <w:pStyle w:val="Compact"/>
              <w:jc w:val="left"/>
            </w:pPr>
            <w:r>
              <w:t xml:space="preserve">2</w:t>
            </w:r>
          </w:p>
        </w:tc>
        <w:tc>
          <w:tcPr/>
          <w:p>
            <w:pPr>
              <w:pStyle w:val="Compact"/>
              <w:jc w:val="left"/>
            </w:pPr>
            <w:r>
              <w:rPr>
                <w:bCs/>
                <w:b/>
              </w:rPr>
              <w:t xml:space="preserve">Embedded Firmware Development</w:t>
            </w:r>
            <w:r>
              <w:br/>
            </w:r>
            <w:r>
              <w:t xml:space="preserve">Low-level driver development for ARM Cortex-M4 microcontroller. Implementation of I2C, SPI, and UART communication protocols. Code optimization for real-time operating system (RTOS) integration.</w:t>
            </w:r>
          </w:p>
        </w:tc>
        <w:tc>
          <w:tcPr/>
          <w:p>
            <w:pPr>
              <w:pStyle w:val="Compact"/>
              <w:jc w:val="left"/>
            </w:pPr>
            <w:r>
              <w:t xml:space="preserve">$195.00 / hr</w:t>
            </w:r>
          </w:p>
        </w:tc>
        <w:tc>
          <w:tcPr/>
          <w:p>
            <w:pPr>
              <w:pStyle w:val="Compact"/>
              <w:jc w:val="left"/>
            </w:pPr>
            <w:r>
              <w:t xml:space="preserve">32.5</w:t>
            </w:r>
          </w:p>
        </w:tc>
        <w:tc>
          <w:tcPr/>
          <w:p>
            <w:pPr>
              <w:pStyle w:val="Compact"/>
              <w:jc w:val="left"/>
            </w:pPr>
            <w:r>
              <w:t xml:space="preserve">$6,337.50</w:t>
            </w:r>
          </w:p>
        </w:tc>
      </w:tr>
      <w:tr>
        <w:tc>
          <w:tcPr/>
          <w:p>
            <w:pPr>
              <w:pStyle w:val="Compact"/>
              <w:jc w:val="left"/>
            </w:pPr>
            <w:r>
              <w:t xml:space="preserve">3</w:t>
            </w:r>
          </w:p>
        </w:tc>
        <w:tc>
          <w:tcPr/>
          <w:p>
            <w:pPr>
              <w:pStyle w:val="Compact"/>
              <w:jc w:val="left"/>
            </w:pPr>
            <w:r>
              <w:rPr>
                <w:bCs/>
                <w:b/>
              </w:rPr>
              <w:t xml:space="preserve">Signal Integrity Analysis</w:t>
            </w:r>
            <w:r>
              <w:br/>
            </w:r>
            <w:r>
              <w:t xml:space="preserve">Pre-layout and post-layout simulation to ensure signal integrity across high-frequency buses. Mitigation of crosstalk and electromagnetic interference (EMI) in accordance with FCC Part 15 regulations.</w:t>
            </w:r>
          </w:p>
        </w:tc>
        <w:tc>
          <w:tcPr/>
          <w:p>
            <w:pPr>
              <w:pStyle w:val="Compact"/>
              <w:jc w:val="left"/>
            </w:pPr>
            <w:r>
              <w:t xml:space="preserve">$210.00 / hr</w:t>
            </w:r>
          </w:p>
        </w:tc>
        <w:tc>
          <w:tcPr/>
          <w:p>
            <w:pPr>
              <w:pStyle w:val="Compact"/>
              <w:jc w:val="left"/>
            </w:pPr>
            <w:r>
              <w:t xml:space="preserve">16.0</w:t>
            </w:r>
          </w:p>
        </w:tc>
        <w:tc>
          <w:tcPr/>
          <w:p>
            <w:pPr>
              <w:pStyle w:val="Compact"/>
              <w:jc w:val="left"/>
            </w:pPr>
            <w:r>
              <w:t xml:space="preserve">$3,360.00</w:t>
            </w:r>
          </w:p>
        </w:tc>
      </w:tr>
      <w:tr>
        <w:tc>
          <w:tcPr/>
          <w:p>
            <w:pPr>
              <w:pStyle w:val="Compact"/>
              <w:jc w:val="left"/>
            </w:pPr>
            <w:r>
              <w:t xml:space="preserve">4</w:t>
            </w:r>
          </w:p>
        </w:tc>
        <w:tc>
          <w:tcPr/>
          <w:p>
            <w:pPr>
              <w:pStyle w:val="Compact"/>
              <w:jc w:val="left"/>
            </w:pPr>
            <w:r>
              <w:rPr>
                <w:bCs/>
                <w:b/>
              </w:rPr>
              <w:t xml:space="preserve">Prototype Assembly &amp; Testing</w:t>
            </w:r>
            <w:r>
              <w:br/>
            </w:r>
            <w:r>
              <w:t xml:space="preserve">Supervision of prototype assembly at local San Francisco fabrication facility. Functional testing, debugging, and validation of power supply rails and sensor interfaces.</w:t>
            </w:r>
          </w:p>
        </w:tc>
        <w:tc>
          <w:tcPr/>
          <w:p>
            <w:pPr>
              <w:pStyle w:val="Compact"/>
              <w:jc w:val="left"/>
            </w:pPr>
            <w:r>
              <w:t xml:space="preserve">$175.00 / hr</w:t>
            </w:r>
          </w:p>
        </w:tc>
        <w:tc>
          <w:tcPr/>
          <w:p>
            <w:pPr>
              <w:pStyle w:val="Compact"/>
              <w:jc w:val="left"/>
            </w:pPr>
            <w:r>
              <w:t xml:space="preserve">12.0</w:t>
            </w:r>
          </w:p>
        </w:tc>
        <w:tc>
          <w:tcPr/>
          <w:p>
            <w:pPr>
              <w:pStyle w:val="Compact"/>
              <w:jc w:val="left"/>
            </w:pPr>
            <w:r>
              <w:t xml:space="preserve">$2,100.00</w:t>
            </w:r>
          </w:p>
        </w:tc>
      </w:tr>
      <w:tr>
        <w:tc>
          <w:tcPr/>
          <w:p>
            <w:pPr>
              <w:pStyle w:val="Compact"/>
              <w:jc w:val="left"/>
            </w:pPr>
            <w:r>
              <w:t xml:space="preserve">5</w:t>
            </w:r>
          </w:p>
        </w:tc>
        <w:tc>
          <w:tcPr/>
          <w:p>
            <w:pPr>
              <w:pStyle w:val="Compact"/>
              <w:jc w:val="left"/>
            </w:pPr>
            <w:r>
              <w:rPr>
                <w:bCs/>
                <w:b/>
              </w:rPr>
              <w:t xml:space="preserve">Technical Documentation</w:t>
            </w:r>
            <w:r>
              <w:br/>
            </w:r>
            <w:r>
              <w:t xml:space="preserve">Creation of comprehensive engineering documentation, including Bill of Materials (BOM), assembly drawings, and test procedures for manufacturing handoff.</w:t>
            </w:r>
          </w:p>
        </w:tc>
        <w:tc>
          <w:tcPr/>
          <w:p>
            <w:pPr>
              <w:pStyle w:val="Compact"/>
              <w:jc w:val="left"/>
            </w:pPr>
            <w:r>
              <w:t xml:space="preserve">$150.00 / hr</w:t>
            </w:r>
          </w:p>
        </w:tc>
        <w:tc>
          <w:tcPr/>
          <w:p>
            <w:pPr>
              <w:pStyle w:val="Compact"/>
              <w:jc w:val="left"/>
            </w:pPr>
            <w:r>
              <w:t xml:space="preserve">8.0</w:t>
            </w:r>
          </w:p>
        </w:tc>
        <w:tc>
          <w:tcPr/>
          <w:p>
            <w:pPr>
              <w:pStyle w:val="Compact"/>
              <w:jc w:val="left"/>
            </w:pPr>
            <w:r>
              <w:t xml:space="preserve">$1,200.00</w:t>
            </w:r>
          </w:p>
        </w:tc>
      </w:tr>
    </w:tbl>
    <w:p>
      <w:pPr>
        <w:pStyle w:val="BodyText"/>
      </w:pPr>
      <w:r>
        <w:t xml:space="preserve">Subtotal:</w:t>
      </w:r>
      <w:r>
        <w:t xml:space="preserve"> </w:t>
      </w:r>
      <w:r>
        <w:t xml:space="preserve">$17,437.50</w:t>
      </w:r>
    </w:p>
    <w:p>
      <w:pPr>
        <w:pStyle w:val="BodyText"/>
      </w:pPr>
      <w:r>
        <w:t xml:space="preserve">Tax (CA Sales Tax 8.5%):</w:t>
      </w:r>
      <w:r>
        <w:t xml:space="preserve"> </w:t>
      </w:r>
      <w:r>
        <w:t xml:space="preserve">$1,482.19</w:t>
      </w:r>
    </w:p>
    <w:p>
      <w:pPr>
        <w:pStyle w:val="BodyText"/>
      </w:pPr>
      <w:r>
        <w:t xml:space="preserve">Total Due:</w:t>
      </w:r>
      <w:r>
        <w:t xml:space="preserve"> </w:t>
      </w:r>
      <w:r>
        <w:t xml:space="preserve">$18,919.69</w:t>
      </w:r>
    </w:p>
    <w:bookmarkStart w:id="23" w:name="payment-instructions-terms"/>
    <w:p>
      <w:pPr>
        <w:pStyle w:val="Heading4"/>
      </w:pPr>
      <w:r>
        <w:t xml:space="preserve">Payment Instructions &amp; Terms</w:t>
      </w:r>
    </w:p>
    <w:p>
      <w:pPr>
        <w:pStyle w:val="FirstParagraph"/>
      </w:pPr>
      <w:r>
        <w:t xml:space="preserve">Please remit payment within 30 days of the invoice date. Late payments are subject to a 1.5% monthly interest charge.</w:t>
      </w:r>
      <w:r>
        <w:t xml:space="preserve"> </w:t>
      </w:r>
      <w:r>
        <w:t xml:space="preserve">Payments can be made via wire transfer or ACH to the bank account details provided below. Please include the Invoice Number (INV-2023-10-884) as the reference for your payment.</w:t>
      </w:r>
    </w:p>
    <w:p>
      <w:pPr>
        <w:pStyle w:val="BodyText"/>
      </w:pPr>
      <w:r>
        <w:rPr>
          <w:bCs/>
          <w:b/>
        </w:rPr>
        <w:t xml:space="preserve">Bank Name:</w:t>
      </w:r>
      <w:r>
        <w:t xml:space="preserve"> </w:t>
      </w:r>
      <w:r>
        <w:t xml:space="preserve">Silicon Valley Bank</w:t>
      </w:r>
      <w:r>
        <w:br/>
      </w:r>
      <w:r>
        <w:rPr>
          <w:bCs/>
          <w:b/>
        </w:rPr>
        <w:t xml:space="preserve">Account Name:</w:t>
      </w:r>
      <w:r>
        <w:t xml:space="preserve"> </w:t>
      </w:r>
      <w:r>
        <w:t xml:space="preserve">Apex Circuit Solutions LLC</w:t>
      </w:r>
      <w:r>
        <w:br/>
      </w:r>
      <w:r>
        <w:rPr>
          <w:bCs/>
          <w:b/>
        </w:rPr>
        <w:t xml:space="preserve">Routing Number:</w:t>
      </w:r>
      <w:r>
        <w:t xml:space="preserve"> </w:t>
      </w:r>
      <w:r>
        <w:t xml:space="preserve">121000248</w:t>
      </w:r>
      <w:r>
        <w:br/>
      </w:r>
      <w:r>
        <w:rPr>
          <w:bCs/>
          <w:b/>
        </w:rPr>
        <w:t xml:space="preserve">Account Number:</w:t>
      </w:r>
      <w:r>
        <w:t xml:space="preserve"> </w:t>
      </w:r>
      <w:r>
        <w:t xml:space="preserve">9876543210</w:t>
      </w:r>
    </w:p>
    <w:bookmarkEnd w:id="23"/>
    <w:bookmarkStart w:id="24" w:name="service-scope-clarification"/>
    <w:p>
      <w:pPr>
        <w:pStyle w:val="Heading4"/>
      </w:pPr>
      <w:r>
        <w:t xml:space="preserve">Service Scope Clarification</w:t>
      </w:r>
    </w:p>
    <w:p>
      <w:pPr>
        <w:pStyle w:val="FirstParagraph"/>
      </w:pPr>
      <w:r>
        <w:t xml:space="preserve">This invoice covers the professional services rendered by our licensed Electronics Engineers based in San Francisco, California. The work performed adheres to the highest industry standards and complies with all relevant United States federal and state regulations regarding electronic design and safety.</w:t>
      </w:r>
      <w:r>
        <w:t xml:space="preserve"> </w:t>
      </w:r>
      <w:r>
        <w:t xml:space="preserve">The scope included the complete design cycle from schematic entry to prototype validation. Any additional revisions or design changes requested after the sign-off on the preliminary design phase are billed separately.</w:t>
      </w:r>
    </w:p>
    <w:p>
      <w:pPr>
        <w:pStyle w:val="BodyText"/>
      </w:pPr>
      <w:r>
        <w:t xml:space="preserve">We appreciate your business and look forward to continuing our collaboration on your upcoming robotics projects. If you have any questions regarding this invoice or the technical deliverables, please contact our accounts receivable department or your primary project engineer directly.</w:t>
      </w:r>
    </w:p>
    <w:bookmarkEnd w:id="24"/>
    <w:p>
      <w:pPr>
        <w:pStyle w:val="BodyText"/>
      </w:pPr>
      <w:r>
        <w:t xml:space="preserve">Apex Circuit Solutions LLC | 1234 Market Street, Suite 500, San Francisco, CA 94103, United States</w:t>
      </w:r>
    </w:p>
    <w:p>
      <w:pPr>
        <w:pStyle w:val="BodyText"/>
      </w:pPr>
      <w:r>
        <w:t xml:space="preserve">Thank you for your prompt payment.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Electronics Engineering Services</dc:title>
  <dc:creator/>
  <dc:language>en</dc:language>
  <cp:keywords/>
  <dcterms:created xsi:type="dcterms:W3CDTF">2026-10-10T06:24:16Z</dcterms:created>
  <dcterms:modified xsi:type="dcterms:W3CDTF">2026-10-10T06:24:16Z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