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bookmarkStart w:id="20" w:name="ecotech-berlin-gmbh"/>
    <w:p>
      <w:pPr>
        <w:pStyle w:val="Heading1"/>
      </w:pPr>
      <w:r>
        <w:t xml:space="preserve">EcoTech Berlin GmbH</w:t>
      </w:r>
    </w:p>
    <w:p>
      <w:pPr>
        <w:pStyle w:val="FirstParagraph"/>
      </w:pPr>
      <w:r>
        <w:rPr>
          <w:bCs/>
          <w:b/>
        </w:rPr>
        <w:t xml:space="preserve">Environmental Engineering &amp; Consulting</w:t>
      </w:r>
    </w:p>
    <w:p>
      <w:pPr>
        <w:pStyle w:val="BodyText"/>
      </w:pPr>
      <w:r>
        <w:t xml:space="preserve">Friedrichstraße 123, 10117 Berlin, Germany</w:t>
      </w:r>
    </w:p>
    <w:p>
      <w:pPr>
        <w:pStyle w:val="BodyText"/>
      </w:pPr>
      <w:r>
        <w:t xml:space="preserve">Phone: +49 30 12345678</w:t>
      </w:r>
    </w:p>
    <w:p>
      <w:pPr>
        <w:pStyle w:val="BodyText"/>
      </w:pPr>
      <w:r>
        <w:t xml:space="preserve">Email: billing@ecotech-berlin.de</w:t>
      </w:r>
    </w:p>
    <w:p>
      <w:pPr>
        <w:pStyle w:val="BodyText"/>
      </w:pPr>
      <w:r>
        <w:t xml:space="preserve">USt-IdNr.: DE123456789</w:t>
      </w:r>
    </w:p>
    <w:p>
      <w:pPr>
        <w:pStyle w:val="BodyText"/>
      </w:pPr>
      <w:r>
        <w:t xml:space="preserve">HRB 123456 B, Amtsgericht Berlin-Charlottenburg</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INV-2023-10-042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Urban Development Berlin AG</w:t>
      </w:r>
    </w:p>
    <w:p>
      <w:pPr>
        <w:pStyle w:val="BodyText"/>
      </w:pPr>
      <w:r>
        <w:t xml:space="preserve">Attn: Procurement Department</w:t>
      </w:r>
    </w:p>
    <w:p>
      <w:pPr>
        <w:pStyle w:val="BodyText"/>
      </w:pPr>
      <w:r>
        <w:t xml:space="preserve">Potsdamer Platz 1, 10785 Berlin, Germany</w:t>
      </w:r>
    </w:p>
    <w:p>
      <w:pPr>
        <w:pStyle w:val="BodyText"/>
      </w:pPr>
      <w:r>
        <w:t xml:space="preserve">USt-IdNr.: DE987654321</w:t>
      </w:r>
    </w:p>
    <w:bookmarkEnd w:id="22"/>
    <w:p>
      <w:pPr>
        <w:pStyle w:val="BodyText"/>
      </w:pPr>
      <w:r>
        <w:rPr>
          <w:bCs/>
          <w:b/>
        </w:rPr>
        <w:t xml:space="preserve">Project Reference:</w:t>
      </w:r>
      <w:r>
        <w:t xml:space="preserve"> </w:t>
      </w:r>
      <w:r>
        <w:t xml:space="preserve">Environmental Impact Assessment &amp; Remediation Strategy for Spree Riverfront Development Zone B.</w:t>
      </w:r>
    </w:p>
    <w:p>
      <w:pPr>
        <w:pStyle w:val="BodyText"/>
      </w:pPr>
      <w:r>
        <w:rPr>
          <w:bCs/>
          <w:b/>
        </w:rPr>
        <w:t xml:space="preserve">Description:</w:t>
      </w:r>
      <w:r>
        <w:t xml:space="preserve"> </w:t>
      </w:r>
      <w:r>
        <w:t xml:space="preserve">Professional services rendered by certified Environmental Engineers regarding soil analysis, water quality monitoring, and regulatory compliance documentation in accordance with German Federal Immission Control Act (BImSchG).</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Phase I Environmental Site Assessment (ESA)</w:t>
            </w:r>
            <w:r>
              <w:br/>
            </w:r>
            <w:r>
              <w:t xml:space="preserve">Comprehensive desktop study and site reconnaissance conducted by senior Environmental Engineers. This includes historical land use analysis, review of Berlin municipal records, and identification of Recognized Environmental Conditions (RECs) relevant to the proposed construction site in Mitte district.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rPr>
                <w:bCs/>
                <w:b/>
              </w:rPr>
              <w:t xml:space="preserve">Soil Contamination Analysis &amp; Sampling</w:t>
            </w:r>
            <w:r>
              <w:br/>
            </w:r>
            <w:r>
              <w:t xml:space="preserve">Fieldwork execution involving the drilling of 12 boreholes to a depth of 15 meters. Collection of soil samples for laboratory analysis regarding heavy metals, hydrocarbons (PAHs), and volatile organic compounds (VOCs). Analysis performed in accordance with DIN EN ISO 17025 standards.</w:t>
            </w:r>
          </w:p>
        </w:tc>
        <w:tc>
          <w:tcPr/>
          <w:p>
            <w:pPr>
              <w:pStyle w:val="Compact"/>
              <w:jc w:val="left"/>
            </w:pPr>
            <w:r>
              <w:t xml:space="preserve">12</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3</w:t>
            </w:r>
          </w:p>
        </w:tc>
        <w:tc>
          <w:tcPr/>
          <w:p>
            <w:pPr>
              <w:pStyle w:val="Compact"/>
              <w:jc w:val="left"/>
            </w:pPr>
            <w:r>
              <w:rPr>
                <w:bCs/>
                <w:b/>
              </w:rPr>
              <w:t xml:space="preserve">Groundwater Monitoring Program Setup</w:t>
            </w:r>
            <w:r>
              <w:br/>
            </w:r>
            <w:r>
              <w:t xml:space="preserve">Installation of 4 piezometers for long-term groundwater monitoring. Initial water quality testing for pH, conductivity, nitrates, and specific pollutants. Assessment of hydraulic gradient and flow direction to determine potential migration pathways of contaminants towards the Spree River.</w:t>
            </w:r>
          </w:p>
        </w:tc>
        <w:tc>
          <w:tcPr/>
          <w:p>
            <w:pPr>
              <w:pStyle w:val="Compact"/>
              <w:jc w:val="left"/>
            </w:pPr>
            <w:r>
              <w:t xml:space="preserve">4</w:t>
            </w:r>
          </w:p>
        </w:tc>
        <w:tc>
          <w:tcPr/>
          <w:p>
            <w:pPr>
              <w:pStyle w:val="Compact"/>
              <w:jc w:val="left"/>
            </w:pPr>
            <w:r>
              <w:t xml:space="preserve">850.00</w:t>
            </w:r>
          </w:p>
        </w:tc>
        <w:tc>
          <w:tcPr/>
          <w:p>
            <w:pPr>
              <w:pStyle w:val="Compact"/>
              <w:jc w:val="left"/>
            </w:pPr>
            <w:r>
              <w:t xml:space="preserve">3,400.00</w:t>
            </w:r>
          </w:p>
        </w:tc>
      </w:tr>
      <w:tr>
        <w:tc>
          <w:tcPr/>
          <w:p>
            <w:pPr>
              <w:pStyle w:val="Compact"/>
              <w:jc w:val="left"/>
            </w:pPr>
            <w:r>
              <w:t xml:space="preserve">4</w:t>
            </w:r>
          </w:p>
        </w:tc>
        <w:tc>
          <w:tcPr/>
          <w:p>
            <w:pPr>
              <w:pStyle w:val="Compact"/>
              <w:jc w:val="left"/>
            </w:pPr>
            <w:r>
              <w:rPr>
                <w:bCs/>
                <w:b/>
              </w:rPr>
              <w:t xml:space="preserve">Regulatory Compliance &amp; Reporting</w:t>
            </w:r>
            <w:r>
              <w:br/>
            </w:r>
            <w:r>
              <w:t xml:space="preserve">Preparation of the "Bodensanierungsplan" (Soil Remediation Plan) required by the Berlin Senate Department for Environment, Transport and Climate Protection. Includes risk assessment calculations, remediation target values derivation based on BBodSchV, and drafting of the official submission documents.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5</w:t>
            </w:r>
          </w:p>
        </w:tc>
        <w:tc>
          <w:tcPr/>
          <w:p>
            <w:pPr>
              <w:pStyle w:val="Compact"/>
              <w:jc w:val="left"/>
            </w:pPr>
            <w:r>
              <w:rPr>
                <w:bCs/>
                <w:b/>
              </w:rPr>
              <w:t xml:space="preserve">Remediation Technology Consultation</w:t>
            </w:r>
            <w:r>
              <w:br/>
            </w:r>
            <w:r>
              <w:t xml:space="preserve">Technical advisory services provided by lead Environmental Engineers regarding in-situ bioremediation vs. ex-situ thermal treatment options. Cost-benefit analysis and timeline projection for the selected remediation strategy to ensure project feasibility within the Berlin urban planning framework.</w:t>
            </w:r>
          </w:p>
        </w:tc>
        <w:tc>
          <w:tcPr/>
          <w:p>
            <w:pPr>
              <w:pStyle w:val="Compact"/>
              <w:jc w:val="left"/>
            </w:pPr>
            <w:r>
              <w:t xml:space="preserve">10</w:t>
            </w:r>
          </w:p>
        </w:tc>
        <w:tc>
          <w:tcPr/>
          <w:p>
            <w:pPr>
              <w:pStyle w:val="Compact"/>
              <w:jc w:val="left"/>
            </w:pPr>
            <w:r>
              <w:t xml:space="preserve">180.00</w:t>
            </w:r>
          </w:p>
        </w:tc>
        <w:tc>
          <w:tcPr/>
          <w:p>
            <w:pPr>
              <w:pStyle w:val="Compact"/>
              <w:jc w:val="left"/>
            </w:pPr>
            <w:r>
              <w:t xml:space="preserve">1,800.00</w:t>
            </w:r>
          </w:p>
        </w:tc>
      </w:tr>
      <w:tr>
        <w:tc>
          <w:tcPr/>
          <w:p>
            <w:pPr>
              <w:pStyle w:val="Compact"/>
              <w:jc w:val="left"/>
            </w:pPr>
            <w:r>
              <w:t xml:space="preserve">6</w:t>
            </w:r>
          </w:p>
        </w:tc>
        <w:tc>
          <w:tcPr/>
          <w:p>
            <w:pPr>
              <w:pStyle w:val="Compact"/>
              <w:jc w:val="left"/>
            </w:pPr>
            <w:r>
              <w:rPr>
                <w:bCs/>
                <w:b/>
              </w:rPr>
              <w:t xml:space="preserve">Stakeholder Workshop Facilitation</w:t>
            </w:r>
            <w:r>
              <w:br/>
            </w:r>
            <w:r>
              <w:t xml:space="preserve">Organization and technical presentation of findings to local authorities, city planners, and community representatives. Explanation of environmental risks and mitigation measures in clear terms to facilitate public acceptance and regulatory approval in the Berlin district.</w:t>
            </w:r>
          </w:p>
        </w:tc>
        <w:tc>
          <w:tcPr/>
          <w:p>
            <w:pPr>
              <w:pStyle w:val="Compact"/>
              <w:jc w:val="left"/>
            </w:pPr>
            <w:r>
              <w:t xml:space="preserve">2</w:t>
            </w:r>
          </w:p>
        </w:tc>
        <w:tc>
          <w:tcPr/>
          <w:p>
            <w:pPr>
              <w:pStyle w:val="Compact"/>
              <w:jc w:val="left"/>
            </w:pPr>
            <w:r>
              <w:t xml:space="preserve">600.00</w:t>
            </w:r>
          </w:p>
        </w:tc>
        <w:tc>
          <w:tcPr/>
          <w:p>
            <w:pPr>
              <w:pStyle w:val="Compact"/>
              <w:jc w:val="left"/>
            </w:pPr>
            <w:r>
              <w:t xml:space="preserve">1,200.00</w:t>
            </w:r>
          </w:p>
        </w:tc>
      </w:tr>
    </w:tbl>
    <w:p>
      <w:pPr>
        <w:pStyle w:val="BodyText"/>
      </w:pPr>
      <w:r>
        <w:t xml:space="preserve">Subtotal:</w:t>
      </w:r>
      <w:r>
        <w:t xml:space="preserve"> </w:t>
      </w:r>
      <w:r>
        <w:t xml:space="preserve">18,300.00 EUR</w:t>
      </w:r>
    </w:p>
    <w:p>
      <w:pPr>
        <w:pStyle w:val="BodyText"/>
      </w:pPr>
      <w:r>
        <w:t xml:space="preserve">VAT (19%):</w:t>
      </w:r>
      <w:r>
        <w:t xml:space="preserve"> </w:t>
      </w:r>
      <w:r>
        <w:t xml:space="preserve">3,477.00 EUR</w:t>
      </w:r>
    </w:p>
    <w:p>
      <w:pPr>
        <w:pStyle w:val="BodyText"/>
      </w:pPr>
      <w:r>
        <w:t xml:space="preserve">Total Due:</w:t>
      </w:r>
      <w:r>
        <w:t xml:space="preserve"> </w:t>
      </w:r>
      <w:r>
        <w:t xml:space="preserve">21,777.00 EUR</w:t>
      </w:r>
    </w:p>
    <w:bookmarkStart w:id="23" w:name="payment-terms-banking-details"/>
    <w:p>
      <w:pPr>
        <w:pStyle w:val="Heading4"/>
      </w:pPr>
      <w:r>
        <w:t xml:space="preserve">Payment Terms &amp; Banking Details:</w:t>
      </w:r>
    </w:p>
    <w:p>
      <w:pPr>
        <w:pStyle w:val="FirstParagraph"/>
      </w:pPr>
      <w:r>
        <w:t xml:space="preserve">Please transfer the total amount of</w:t>
      </w:r>
      <w:r>
        <w:t xml:space="preserve"> </w:t>
      </w:r>
      <w:r>
        <w:rPr>
          <w:bCs/>
          <w:b/>
        </w:rPr>
        <w:t xml:space="preserve">21,777.00 EUR</w:t>
      </w:r>
      <w:r>
        <w:t xml:space="preserve"> </w:t>
      </w:r>
      <w:r>
        <w:t xml:space="preserve">within 30 days of the invoice date. Late payments will incur interest at the statutory rate plus 5 percentage points.</w:t>
      </w:r>
    </w:p>
    <w:p>
      <w:pPr>
        <w:pStyle w:val="BodyText"/>
      </w:pPr>
      <w:r>
        <w:rPr>
          <w:bCs/>
          <w:b/>
        </w:rPr>
        <w:t xml:space="preserve">Bank Name:</w:t>
      </w:r>
      <w:r>
        <w:t xml:space="preserve"> </w:t>
      </w:r>
      <w:r>
        <w:t xml:space="preserve">Deutsche Bank AG Berlin</w:t>
      </w:r>
    </w:p>
    <w:p>
      <w:pPr>
        <w:pStyle w:val="BodyText"/>
      </w:pPr>
      <w:r>
        <w:rPr>
          <w:bCs/>
          <w:b/>
        </w:rPr>
        <w:t xml:space="preserve">IBAN:</w:t>
      </w:r>
      <w:r>
        <w:t xml:space="preserve"> </w:t>
      </w:r>
      <w:r>
        <w:t xml:space="preserve">DE89 3704 0044 0532 0130 00</w:t>
      </w:r>
    </w:p>
    <w:p>
      <w:pPr>
        <w:pStyle w:val="BodyText"/>
      </w:pPr>
      <w:r>
        <w:rPr>
          <w:bCs/>
          <w:b/>
        </w:rPr>
        <w:t xml:space="preserve">BIC:</w:t>
      </w:r>
      <w:r>
        <w:t xml:space="preserve"> </w:t>
      </w:r>
      <w:r>
        <w:t xml:space="preserve">COBADEFFXXX</w:t>
      </w:r>
    </w:p>
    <w:p>
      <w:pPr>
        <w:pStyle w:val="BodyText"/>
      </w:pPr>
      <w:r>
        <w:rPr>
          <w:bCs/>
          <w:b/>
        </w:rPr>
        <w:t xml:space="preserve">Reference:</w:t>
      </w:r>
      <w:r>
        <w:t xml:space="preserve"> </w:t>
      </w:r>
      <w:r>
        <w:t xml:space="preserve">INV-2023-10-042</w:t>
      </w:r>
    </w:p>
    <w:bookmarkEnd w:id="23"/>
    <w:bookmarkStart w:id="24" w:name="legal-compliance-notes"/>
    <w:p>
      <w:pPr>
        <w:pStyle w:val="Heading4"/>
      </w:pPr>
      <w:r>
        <w:t xml:space="preserve">Legal &amp; Compliance Notes:</w:t>
      </w:r>
    </w:p>
    <w:p>
      <w:pPr>
        <w:pStyle w:val="FirstParagraph"/>
      </w:pPr>
      <w:r>
        <w:t xml:space="preserve">This invoice represents professional services rendered by qualified Environmental Engineers licensed to operate in Germany. All work has been conducted in strict adherence to the Federal Soil Protection Act (BBodSchG) and the Berlin Soil Protection Ordinance (BBodSchV). The data presented in the associated reports is confidential and intended solely for the use of Urban Development Berlin AG and relevant regulatory bodies in Berlin.</w:t>
      </w:r>
    </w:p>
    <w:p>
      <w:pPr>
        <w:pStyle w:val="BodyText"/>
      </w:pPr>
      <w:r>
        <w:t xml:space="preserve">If you have any questions regarding this invoice or the technical scope of work, please contact our project manager at the address listed above.</w:t>
      </w:r>
    </w:p>
    <w:bookmarkEnd w:id="24"/>
    <w:p>
      <w:pPr>
        <w:pStyle w:val="BodyText"/>
      </w:pPr>
      <w:r>
        <w:t xml:space="preserve">EcoTech Berlin GmbH | Environmental Engineering Excellence in Germany | Berlin, Germany</w:t>
      </w:r>
    </w:p>
    <w:p>
      <w:pPr>
        <w:pStyle w:val="BodyText"/>
      </w:pPr>
      <w:r>
        <w:t xml:space="preserve">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dc:title>
  <dc:creator/>
  <dc:language>en</dc:language>
  <cp:keywords/>
  <dcterms:created xsi:type="dcterms:W3CDTF">2026-10-10T05:41:22Z</dcterms:created>
  <dcterms:modified xsi:type="dcterms:W3CDTF">2026-10-10T05:41:22Z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