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Environmental</w:t>
      </w:r>
      <w:r>
        <w:t xml:space="preserve"> </w:t>
      </w:r>
      <w:r>
        <w:t xml:space="preserve">Engineering</w:t>
      </w:r>
      <w:r>
        <w:t xml:space="preserve"> </w:t>
      </w:r>
      <w:r>
        <w:t xml:space="preserve">Services</w:t>
      </w:r>
      <w:r>
        <w:t xml:space="preserve"> </w:t>
      </w:r>
      <w:r>
        <w:t xml:space="preserve">-</w:t>
      </w:r>
      <w:r>
        <w:t xml:space="preserve"> </w:t>
      </w:r>
      <w:r>
        <w:t xml:space="preserve">Frankfurt,</w:t>
      </w:r>
      <w:r>
        <w:t xml:space="preserve"> </w:t>
      </w:r>
      <w:r>
        <w:t xml:space="preserve">Germany</w:t>
      </w:r>
    </w:p>
    <w:bookmarkStart w:id="20" w:name="greentech-solutions-gmbh"/>
    <w:p>
      <w:pPr>
        <w:pStyle w:val="Heading1"/>
      </w:pPr>
      <w:r>
        <w:t xml:space="preserve">GreenTech Solutions GmbH</w:t>
      </w:r>
    </w:p>
    <w:p>
      <w:pPr>
        <w:pStyle w:val="FirstParagraph"/>
      </w:pPr>
      <w:r>
        <w:rPr>
          <w:bCs/>
          <w:b/>
        </w:rPr>
        <w:t xml:space="preserve">Environmental Engineering &amp; Consulting</w:t>
      </w:r>
    </w:p>
    <w:p>
      <w:pPr>
        <w:pStyle w:val="BodyText"/>
      </w:pPr>
      <w:r>
        <w:t xml:space="preserve">Mainzer Landstraße 120</w:t>
      </w:r>
    </w:p>
    <w:p>
      <w:pPr>
        <w:pStyle w:val="BodyText"/>
      </w:pPr>
      <w:r>
        <w:t xml:space="preserve">60327 Frankfurt am Main, Germany</w:t>
      </w:r>
    </w:p>
    <w:p>
      <w:pPr>
        <w:pStyle w:val="BodyText"/>
      </w:pPr>
      <w:r>
        <w:t xml:space="preserve">Phone: +49 69 1234 5678</w:t>
      </w:r>
    </w:p>
    <w:p>
      <w:pPr>
        <w:pStyle w:val="BodyText"/>
      </w:pPr>
      <w:r>
        <w:t xml:space="preserve">Email: billing@greentech-solutions.de</w:t>
      </w:r>
    </w:p>
    <w:p>
      <w:pPr>
        <w:pStyle w:val="BodyText"/>
      </w:pPr>
      <w:r>
        <w:t xml:space="preserve">USt-IdNr.: DE123456789</w:t>
      </w:r>
    </w:p>
    <w:p>
      <w:pPr>
        <w:pStyle w:val="BodyText"/>
      </w:pPr>
      <w:r>
        <w:t xml:space="preserve">HRB 123456 Frankfurt am Main</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INV-2023-10-045</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Project Ref:</w:t>
      </w:r>
      <w:r>
        <w:t xml:space="preserve"> </w:t>
      </w:r>
      <w:r>
        <w:t xml:space="preserve">FRK-REM-2023-09</w:t>
      </w:r>
    </w:p>
    <w:bookmarkEnd w:id="21"/>
    <w:bookmarkStart w:id="22" w:name="bill-to"/>
    <w:p>
      <w:pPr>
        <w:pStyle w:val="Heading3"/>
      </w:pPr>
      <w:r>
        <w:t xml:space="preserve">Bill To:</w:t>
      </w:r>
    </w:p>
    <w:p>
      <w:pPr>
        <w:pStyle w:val="FirstParagraph"/>
      </w:pPr>
      <w:r>
        <w:rPr>
          <w:bCs/>
          <w:b/>
        </w:rPr>
        <w:t xml:space="preserve">Frankfurt Industrial Park AG</w:t>
      </w:r>
    </w:p>
    <w:p>
      <w:pPr>
        <w:pStyle w:val="BodyText"/>
      </w:pPr>
      <w:r>
        <w:t xml:space="preserve">Attn: Procurement Department</w:t>
      </w:r>
    </w:p>
    <w:p>
      <w:pPr>
        <w:pStyle w:val="BodyText"/>
      </w:pPr>
      <w:r>
        <w:t xml:space="preserve">Bockenheimer Landstraße 4-10</w:t>
      </w:r>
    </w:p>
    <w:p>
      <w:pPr>
        <w:pStyle w:val="BodyText"/>
      </w:pPr>
      <w:r>
        <w:t xml:space="preserve">60325 Frankfurt am Main, Germany</w:t>
      </w:r>
    </w:p>
    <w:p>
      <w:pPr>
        <w:pStyle w:val="BodyText"/>
      </w:pPr>
      <w:r>
        <w:t xml:space="preserve">USt-IdNr.: DE987654321</w:t>
      </w:r>
    </w:p>
    <w:bookmarkEnd w:id="22"/>
    <w:bookmarkStart w:id="23" w:name="Xb9ec079c98db83ff44d24ea5de66ac7da9c98ef"/>
    <w:p>
      <w:pPr>
        <w:pStyle w:val="Heading3"/>
      </w:pPr>
      <w:r>
        <w:t xml:space="preserve">Scope of Services: Environmental Engineering Assessment</w:t>
      </w:r>
    </w:p>
    <w:p>
      <w:pPr>
        <w:pStyle w:val="FirstParagraph"/>
      </w:pPr>
      <w:r>
        <w:t xml:space="preserve">This Invoice pertains to the professional services rendered by our team of certified Environmental Engineers based in Frankfurt, Germany. The services were conducted in strict accordance with the German Federal Immission Control Act (Bundes-Immissionsschutzgesetz - BImSchG) and local Hessian environmental regulations.</w:t>
      </w:r>
    </w:p>
    <w:p>
      <w:pPr>
        <w:pStyle w:val="BodyText"/>
      </w:pPr>
      <w:r>
        <w:t xml:space="preserve">The primary objective of this engagement was to conduct a comprehensive environmental impact assessment and remediation strategy for the client's industrial facility located in the Frankfurt Rhine-Main area. Our Environmental Engineers performed detailed soil sampling, groundwater analysis, and air quality monitoring to identify potential contaminants. Furthermore, we developed a technical report outlining necessary mitigation measures to ensure compliance with EU environmental directives and German statutory requirements. This work is critical for maintaining the ecological integrity of the Frankfurt region and ensuring the client's operational license remains valid.</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Site Inspection &amp; Data Collection</w:t>
            </w:r>
            <w:r>
              <w:br/>
            </w:r>
            <w:r>
              <w:t xml:space="preserve">On-site visit by Senior Environmental Engineer in Frankfurt. Assessment of current waste management systems and identification of hazardous materials.</w:t>
            </w:r>
          </w:p>
        </w:tc>
        <w:tc>
          <w:tcPr/>
          <w:p>
            <w:pPr>
              <w:pStyle w:val="Compact"/>
              <w:jc w:val="left"/>
            </w:pPr>
            <w:r>
              <w:t xml:space="preserve">12.0</w:t>
            </w:r>
          </w:p>
        </w:tc>
        <w:tc>
          <w:tcPr/>
          <w:p>
            <w:pPr>
              <w:pStyle w:val="Compact"/>
              <w:jc w:val="left"/>
            </w:pPr>
            <w:r>
              <w:t xml:space="preserve">180.00</w:t>
            </w:r>
          </w:p>
        </w:tc>
        <w:tc>
          <w:tcPr/>
          <w:p>
            <w:pPr>
              <w:pStyle w:val="Compact"/>
              <w:jc w:val="left"/>
            </w:pPr>
            <w:r>
              <w:t xml:space="preserve">2,160.00</w:t>
            </w:r>
          </w:p>
        </w:tc>
      </w:tr>
      <w:tr>
        <w:tc>
          <w:tcPr/>
          <w:p>
            <w:pPr>
              <w:pStyle w:val="Compact"/>
              <w:jc w:val="left"/>
            </w:pPr>
            <w:r>
              <w:t xml:space="preserve">2</w:t>
            </w:r>
          </w:p>
        </w:tc>
        <w:tc>
          <w:tcPr/>
          <w:p>
            <w:pPr>
              <w:pStyle w:val="Compact"/>
              <w:jc w:val="left"/>
            </w:pPr>
            <w:r>
              <w:rPr>
                <w:bCs/>
                <w:b/>
              </w:rPr>
              <w:t xml:space="preserve">Soil &amp; Groundwater Analysis</w:t>
            </w:r>
            <w:r>
              <w:br/>
            </w:r>
            <w:r>
              <w:t xml:space="preserve">Laboratory testing of 15 soil samples and 5 groundwater samples for heavy metals and hydrocarbons. Analysis performed at certified lab in Hesse.</w:t>
            </w:r>
          </w:p>
        </w:tc>
        <w:tc>
          <w:tcPr/>
          <w:p>
            <w:pPr>
              <w:pStyle w:val="Compact"/>
              <w:jc w:val="left"/>
            </w:pPr>
            <w:r>
              <w:t xml:space="preserve">1.0</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3</w:t>
            </w:r>
          </w:p>
        </w:tc>
        <w:tc>
          <w:tcPr/>
          <w:p>
            <w:pPr>
              <w:pStyle w:val="Compact"/>
              <w:jc w:val="left"/>
            </w:pPr>
            <w:r>
              <w:rPr>
                <w:bCs/>
                <w:b/>
              </w:rPr>
              <w:t xml:space="preserve">Regulatory Compliance Review</w:t>
            </w:r>
            <w:r>
              <w:br/>
            </w:r>
            <w:r>
              <w:t xml:space="preserve">Detailed review of project plans against German Environmental Code (UVwG) and local Frankfurt zoning laws.</w:t>
            </w:r>
          </w:p>
        </w:tc>
        <w:tc>
          <w:tcPr/>
          <w:p>
            <w:pPr>
              <w:pStyle w:val="Compact"/>
              <w:jc w:val="left"/>
            </w:pPr>
            <w:r>
              <w:t xml:space="preserve">8.0</w:t>
            </w:r>
          </w:p>
        </w:tc>
        <w:tc>
          <w:tcPr/>
          <w:p>
            <w:pPr>
              <w:pStyle w:val="Compact"/>
              <w:jc w:val="left"/>
            </w:pPr>
            <w:r>
              <w:t xml:space="preserve">160.00</w:t>
            </w:r>
          </w:p>
        </w:tc>
        <w:tc>
          <w:tcPr/>
          <w:p>
            <w:pPr>
              <w:pStyle w:val="Compact"/>
              <w:jc w:val="left"/>
            </w:pPr>
            <w:r>
              <w:t xml:space="preserve">1,280.00</w:t>
            </w:r>
          </w:p>
        </w:tc>
      </w:tr>
      <w:tr>
        <w:tc>
          <w:tcPr/>
          <w:p>
            <w:pPr>
              <w:pStyle w:val="Compact"/>
              <w:jc w:val="left"/>
            </w:pPr>
            <w:r>
              <w:t xml:space="preserve">4</w:t>
            </w:r>
          </w:p>
        </w:tc>
        <w:tc>
          <w:tcPr/>
          <w:p>
            <w:pPr>
              <w:pStyle w:val="Compact"/>
              <w:jc w:val="left"/>
            </w:pPr>
            <w:r>
              <w:rPr>
                <w:bCs/>
                <w:b/>
              </w:rPr>
              <w:t xml:space="preserve">Remediation Strategy Report</w:t>
            </w:r>
            <w:r>
              <w:br/>
            </w:r>
            <w:r>
              <w:t xml:space="preserve">Drafting of technical proposal for soil remediation and water filtration systems tailored to the Frankfurt site conditions.</w:t>
            </w:r>
          </w:p>
        </w:tc>
        <w:tc>
          <w:tcPr/>
          <w:p>
            <w:pPr>
              <w:pStyle w:val="Compact"/>
              <w:jc w:val="left"/>
            </w:pPr>
            <w:r>
              <w:t xml:space="preserve">20.0</w:t>
            </w:r>
          </w:p>
        </w:tc>
        <w:tc>
          <w:tcPr/>
          <w:p>
            <w:pPr>
              <w:pStyle w:val="Compact"/>
              <w:jc w:val="left"/>
            </w:pPr>
            <w:r>
              <w:t xml:space="preserve">175.00</w:t>
            </w:r>
          </w:p>
        </w:tc>
        <w:tc>
          <w:tcPr/>
          <w:p>
            <w:pPr>
              <w:pStyle w:val="Compact"/>
              <w:jc w:val="left"/>
            </w:pPr>
            <w:r>
              <w:t xml:space="preserve">3,500.00</w:t>
            </w:r>
          </w:p>
        </w:tc>
      </w:tr>
      <w:tr>
        <w:tc>
          <w:tcPr/>
          <w:p>
            <w:pPr>
              <w:pStyle w:val="Compact"/>
              <w:jc w:val="left"/>
            </w:pPr>
            <w:r>
              <w:t xml:space="preserve">5</w:t>
            </w:r>
          </w:p>
        </w:tc>
        <w:tc>
          <w:tcPr/>
          <w:p>
            <w:pPr>
              <w:pStyle w:val="Compact"/>
              <w:jc w:val="left"/>
            </w:pPr>
            <w:r>
              <w:rPr>
                <w:bCs/>
                <w:b/>
              </w:rPr>
              <w:t xml:space="preserve">Stakeholder Consultation</w:t>
            </w:r>
            <w:r>
              <w:br/>
            </w:r>
            <w:r>
              <w:t xml:space="preserve">Meeting with local authorities in Frankfurt am Main to discuss preliminary findings and permit requirements.</w:t>
            </w:r>
          </w:p>
        </w:tc>
        <w:tc>
          <w:tcPr/>
          <w:p>
            <w:pPr>
              <w:pStyle w:val="Compact"/>
              <w:jc w:val="left"/>
            </w:pPr>
            <w:r>
              <w:t xml:space="preserve">4.0</w:t>
            </w:r>
          </w:p>
        </w:tc>
        <w:tc>
          <w:tcPr/>
          <w:p>
            <w:pPr>
              <w:pStyle w:val="Compact"/>
              <w:jc w:val="left"/>
            </w:pPr>
            <w:r>
              <w:t xml:space="preserve">180.00</w:t>
            </w:r>
          </w:p>
        </w:tc>
        <w:tc>
          <w:tcPr/>
          <w:p>
            <w:pPr>
              <w:pStyle w:val="Compact"/>
              <w:jc w:val="left"/>
            </w:pPr>
            <w:r>
              <w:t xml:space="preserve">720.00</w:t>
            </w:r>
          </w:p>
        </w:tc>
      </w:tr>
    </w:tbl>
    <w:p>
      <w:pPr>
        <w:pStyle w:val="BodyText"/>
      </w:pPr>
      <w:r>
        <w:t xml:space="preserve">Subtotal:</w:t>
      </w:r>
      <w:r>
        <w:t xml:space="preserve"> </w:t>
      </w:r>
      <w:r>
        <w:t xml:space="preserve">11,160.00 EUR</w:t>
      </w:r>
    </w:p>
    <w:p>
      <w:pPr>
        <w:pStyle w:val="BodyText"/>
      </w:pPr>
      <w:r>
        <w:t xml:space="preserve">VAT (19% - Germany Standard Rate):</w:t>
      </w:r>
      <w:r>
        <w:t xml:space="preserve"> </w:t>
      </w:r>
      <w:r>
        <w:t xml:space="preserve">2,120.40 EUR</w:t>
      </w:r>
    </w:p>
    <w:p>
      <w:pPr>
        <w:pStyle w:val="BodyText"/>
      </w:pPr>
      <w:r>
        <w:t xml:space="preserve">Total Due:</w:t>
      </w:r>
      <w:r>
        <w:t xml:space="preserve"> </w:t>
      </w:r>
      <w:r>
        <w:t xml:space="preserve">13,280.40 EUR</w:t>
      </w:r>
    </w:p>
    <w:bookmarkStart w:id="24" w:name="payment-instructions"/>
    <w:p>
      <w:pPr>
        <w:pStyle w:val="Heading3"/>
      </w:pPr>
      <w:r>
        <w:t xml:space="preserve">Payment Instructions</w:t>
      </w:r>
    </w:p>
    <w:p>
      <w:pPr>
        <w:pStyle w:val="FirstParagraph"/>
      </w:pPr>
      <w:r>
        <w:t xml:space="preserve">Please transfer the total amount of</w:t>
      </w:r>
      <w:r>
        <w:t xml:space="preserve"> </w:t>
      </w:r>
      <w:r>
        <w:rPr>
          <w:bCs/>
          <w:b/>
        </w:rPr>
        <w:t xml:space="preserve">13,280.40 EUR</w:t>
      </w:r>
      <w:r>
        <w:t xml:space="preserve"> </w:t>
      </w:r>
      <w:r>
        <w:t xml:space="preserve">by the due date to the following bank account:</w:t>
      </w:r>
    </w:p>
    <w:p>
      <w:pPr>
        <w:numPr>
          <w:ilvl w:val="0"/>
          <w:numId w:val="1001"/>
        </w:numPr>
        <w:pStyle w:val="Compact"/>
      </w:pPr>
      <w:r>
        <w:rPr>
          <w:bCs/>
          <w:b/>
        </w:rPr>
        <w:t xml:space="preserve">Bank Name:</w:t>
      </w:r>
      <w:r>
        <w:t xml:space="preserve"> </w:t>
      </w:r>
      <w:r>
        <w:t xml:space="preserve">Commerzbank AG, Frankfurt am Main</w:t>
      </w:r>
    </w:p>
    <w:p>
      <w:pPr>
        <w:numPr>
          <w:ilvl w:val="0"/>
          <w:numId w:val="1001"/>
        </w:numPr>
        <w:pStyle w:val="Compact"/>
      </w:pPr>
      <w:r>
        <w:rPr>
          <w:bCs/>
          <w:b/>
        </w:rPr>
        <w:t xml:space="preserve">Account Holder:</w:t>
      </w:r>
      <w:r>
        <w:t xml:space="preserve"> </w:t>
      </w:r>
      <w:r>
        <w:t xml:space="preserve">GreenTech Solutions GmbH</w:t>
      </w:r>
    </w:p>
    <w:p>
      <w:pPr>
        <w:numPr>
          <w:ilvl w:val="0"/>
          <w:numId w:val="1001"/>
        </w:numPr>
        <w:pStyle w:val="Compact"/>
      </w:pPr>
      <w:r>
        <w:rPr>
          <w:bCs/>
          <w:b/>
        </w:rPr>
        <w:t xml:space="preserve">IBAN:</w:t>
      </w:r>
      <w:r>
        <w:t xml:space="preserve"> </w:t>
      </w:r>
      <w:r>
        <w:t xml:space="preserve">DE89 5004 0000 0012 3456 78</w:t>
      </w:r>
    </w:p>
    <w:p>
      <w:pPr>
        <w:numPr>
          <w:ilvl w:val="0"/>
          <w:numId w:val="1001"/>
        </w:numPr>
        <w:pStyle w:val="Compact"/>
      </w:pPr>
      <w:r>
        <w:rPr>
          <w:bCs/>
          <w:b/>
        </w:rPr>
        <w:t xml:space="preserve">BIC:</w:t>
      </w:r>
      <w:r>
        <w:t xml:space="preserve"> </w:t>
      </w:r>
      <w:r>
        <w:t xml:space="preserve">COBADEFFXXX</w:t>
      </w:r>
    </w:p>
    <w:p>
      <w:pPr>
        <w:numPr>
          <w:ilvl w:val="0"/>
          <w:numId w:val="1001"/>
        </w:numPr>
        <w:pStyle w:val="Compact"/>
      </w:pPr>
      <w:r>
        <w:rPr>
          <w:bCs/>
          <w:b/>
        </w:rPr>
        <w:t xml:space="preserve">Reference:</w:t>
      </w:r>
      <w:r>
        <w:t xml:space="preserve"> </w:t>
      </w:r>
      <w:r>
        <w:t xml:space="preserve">INV-2023-10-045</w:t>
      </w:r>
    </w:p>
    <w:p>
      <w:pPr>
        <w:pStyle w:val="FirstParagraph"/>
      </w:pPr>
      <w:r>
        <w:t xml:space="preserve">Please note that late payments may incur interest charges in accordance with German commercial law (§ 288 BGB).</w:t>
      </w:r>
    </w:p>
    <w:bookmarkEnd w:id="24"/>
    <w:p>
      <w:pPr>
        <w:pStyle w:val="BodyText"/>
      </w:pPr>
      <w:r>
        <w:t xml:space="preserve">Thank you for your business. GreenTech Solutions GmbH is committed to providing top-tier Environmental Engineering services in Frankfurt and throughout Germany.</w:t>
      </w:r>
    </w:p>
    <w:p>
      <w:pPr>
        <w:pStyle w:val="BodyText"/>
      </w:pPr>
      <w:r>
        <w:t xml:space="preserve">This document is a valid Invoice for tax purposes in Germany. In case of any discrepancies regarding the services provided by our Environmental Engineers, please contact our office within 14 days of the invoice date. All rights reserved.</w:t>
      </w:r>
    </w:p>
    <w:p>
      <w:pPr>
        <w:pStyle w:val="BodyText"/>
      </w:pPr>
      <w:r>
        <w:t xml:space="preserve">GreenTech Solutions GmbH | Managing Director: Dr. Hans Müller | Amtsgericht Frankfurt am Main HRB 123456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Environmental Engineering Services - Frankfurt, Germany</dc:title>
  <dc:creator/>
  <dc:language>en</dc:language>
  <cp:keywords/>
  <dcterms:created xsi:type="dcterms:W3CDTF">2026-10-10T10:20:14Z</dcterms:created>
  <dcterms:modified xsi:type="dcterms:W3CDTF">2026-10-10T10:20:14Z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