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 Horizon Environmental Solutions</w:t>
      </w:r>
    </w:p>
    <w:p>
      <w:pPr>
        <w:pStyle w:val="FirstParagraph"/>
      </w:pPr>
      <w:r>
        <w:rPr>
          <w:bCs/>
          <w:b/>
        </w:rPr>
        <w:t xml:space="preserve">License No:</w:t>
      </w:r>
      <w:r>
        <w:t xml:space="preserve"> </w:t>
      </w:r>
      <w:r>
        <w:t xml:space="preserve">98-ENV-TEH-4421</w:t>
      </w:r>
    </w:p>
    <w:p>
      <w:pPr>
        <w:pStyle w:val="BodyText"/>
      </w:pPr>
      <w:r>
        <w:t xml:space="preserve">No. 45, Valiasr Street, District 1</w:t>
      </w:r>
    </w:p>
    <w:p>
      <w:pPr>
        <w:pStyle w:val="BodyText"/>
      </w:pPr>
      <w:r>
        <w:t xml:space="preserve">Tehran, Iran</w:t>
      </w:r>
    </w:p>
    <w:p>
      <w:pPr>
        <w:pStyle w:val="BodyText"/>
      </w:pPr>
      <w:r>
        <w:t xml:space="preserve">Tel: +98 21 8888 9999</w:t>
      </w:r>
    </w:p>
    <w:p>
      <w:pPr>
        <w:pStyle w:val="BodyText"/>
      </w:pPr>
      <w:r>
        <w:t xml:space="preserve">Email: billing@greenhorizon-tehran.ir</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Tehran Industrial Development Corp.</w:t>
      </w:r>
    </w:p>
    <w:p>
      <w:pPr>
        <w:pStyle w:val="BodyText"/>
      </w:pPr>
      <w:r>
        <w:t xml:space="preserve">Attn: Procurement Department</w:t>
      </w:r>
    </w:p>
    <w:p>
      <w:pPr>
        <w:pStyle w:val="BodyText"/>
      </w:pPr>
      <w:r>
        <w:t xml:space="preserve">Shahrak-e Gharb Industrial Zone</w:t>
      </w:r>
    </w:p>
    <w:p>
      <w:pPr>
        <w:pStyle w:val="BodyText"/>
      </w:pPr>
      <w:r>
        <w:t xml:space="preserve">Tehran, Iran</w:t>
      </w:r>
    </w:p>
    <w:p>
      <w:pPr>
        <w:pStyle w:val="BodyText"/>
      </w:pPr>
      <w:r>
        <w:t xml:space="preserve">Tax ID: 10104567890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INV-TEH-2023-089</w:t>
      </w:r>
    </w:p>
    <w:p>
      <w:pPr>
        <w:pStyle w:val="BodyText"/>
      </w:pPr>
      <w:r>
        <w:rPr>
          <w:bCs/>
          <w:b/>
        </w:rPr>
        <w:t xml:space="preserve">Project Reference:</w:t>
      </w:r>
      <w:r>
        <w:t xml:space="preserve"> </w:t>
      </w:r>
      <w:r>
        <w:t xml:space="preserve">EIA-Phase-2-Tehran</w:t>
      </w:r>
    </w:p>
    <w:p>
      <w:pPr>
        <w:pStyle w:val="BodyText"/>
      </w:pPr>
      <w:r>
        <w:rPr>
          <w:bCs/>
          <w:b/>
        </w:rPr>
        <w:t xml:space="preserve">Service Period:</w:t>
      </w:r>
      <w:r>
        <w:t xml:space="preserve"> </w:t>
      </w:r>
      <w:r>
        <w:t xml:space="preserve">Oct 01, 2023 - Oct 20, 2023</w:t>
      </w:r>
    </w:p>
    <w:p>
      <w:pPr>
        <w:pStyle w:val="BodyText"/>
      </w:pPr>
      <w:r>
        <w:rPr>
          <w:bCs/>
          <w:b/>
        </w:rPr>
        <w:t xml:space="preserve">Currency:</w:t>
      </w:r>
      <w:r>
        <w:t xml:space="preserve"> </w:t>
      </w:r>
      <w:r>
        <w:t xml:space="preserve">Iranian Rial (IRR)</w:t>
      </w:r>
    </w:p>
    <w:bookmarkEnd w:id="23"/>
    <w:p>
      <w:pPr>
        <w:pStyle w:val="BodyText"/>
      </w:pPr>
      <w:r>
        <w:t xml:space="preserve">This invoice covers professional services rendered by a certified Environmental Engineer regarding the Environmental Impact Assessment (EIA) and regulatory compliance for the industrial expansion project located in the Tehran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rPr>
                <w:bCs/>
                <w:b/>
              </w:rPr>
              <w:t xml:space="preserve">Site Assessment &amp; Air Quality Analysis:</w:t>
            </w:r>
            <w:r>
              <w:br/>
            </w:r>
            <w:r>
              <w:t xml:space="preserve">Comprehensive on-site inspection conducted by the Environmental Engineer at the Tehran facility. Included sampling of particulate matter (PM2.5, PM10) and gaseous emissions to ensure compliance with the National Environmental Protection Agency (NEPA) standards specific to the Tehran air basin.</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Water Resource Management Plan:</w:t>
            </w:r>
            <w:r>
              <w:br/>
            </w:r>
            <w:r>
              <w:t xml:space="preserve">Development of a wastewater treatment strategy tailored to the local hydrology of Tehran. The Environmental Engineer analyzed effluent discharge limits and proposed a filtration system to minimize impact on local groundwater reserves.</w:t>
            </w:r>
          </w:p>
        </w:tc>
        <w:tc>
          <w:tcPr/>
          <w:p>
            <w:pPr>
              <w:pStyle w:val="Compact"/>
              <w:jc w:val="left"/>
            </w:pPr>
            <w:r>
              <w:t xml:space="preserve">25</w:t>
            </w:r>
          </w:p>
        </w:tc>
        <w:tc>
          <w:tcPr/>
          <w:p>
            <w:pPr>
              <w:pStyle w:val="Compact"/>
              <w:jc w:val="left"/>
            </w:pPr>
            <w:r>
              <w:t xml:space="preserve">2,500,000</w:t>
            </w:r>
          </w:p>
        </w:tc>
        <w:tc>
          <w:tcPr/>
          <w:p>
            <w:pPr>
              <w:pStyle w:val="Compact"/>
              <w:jc w:val="left"/>
            </w:pPr>
            <w:r>
              <w:t xml:space="preserve">62,500,000</w:t>
            </w:r>
          </w:p>
        </w:tc>
      </w:tr>
      <w:tr>
        <w:tc>
          <w:tcPr/>
          <w:p>
            <w:pPr>
              <w:pStyle w:val="Compact"/>
              <w:jc w:val="left"/>
            </w:pPr>
            <w:r>
              <w:t xml:space="preserve">3</w:t>
            </w:r>
          </w:p>
        </w:tc>
        <w:tc>
          <w:tcPr/>
          <w:p>
            <w:pPr>
              <w:pStyle w:val="Compact"/>
              <w:jc w:val="left"/>
            </w:pPr>
            <w:r>
              <w:rPr>
                <w:bCs/>
                <w:b/>
              </w:rPr>
              <w:t xml:space="preserve">Regulatory Documentation &amp; EIA Report:</w:t>
            </w:r>
            <w:r>
              <w:br/>
            </w:r>
            <w:r>
              <w:t xml:space="preserve">Drafting of the formal Environmental Impact Assessment report required for municipal approval in Tehran. This includes risk assessment matrices, mitigation strategies for noise pollution, and solid waste management protocols compliant with Iranian environmental law.</w:t>
            </w:r>
          </w:p>
        </w:tc>
        <w:tc>
          <w:tcPr/>
          <w:p>
            <w:pPr>
              <w:pStyle w:val="Compact"/>
              <w:jc w:val="left"/>
            </w:pPr>
            <w:r>
              <w:t xml:space="preserve">60</w:t>
            </w:r>
          </w:p>
        </w:tc>
        <w:tc>
          <w:tcPr/>
          <w:p>
            <w:pPr>
              <w:pStyle w:val="Compact"/>
              <w:jc w:val="left"/>
            </w:pPr>
            <w:r>
              <w:t xml:space="preserve">2,500,000</w:t>
            </w:r>
          </w:p>
        </w:tc>
        <w:tc>
          <w:tcPr/>
          <w:p>
            <w:pPr>
              <w:pStyle w:val="Compact"/>
              <w:jc w:val="left"/>
            </w:pPr>
            <w:r>
              <w:t xml:space="preserve">150,000,000</w:t>
            </w:r>
          </w:p>
        </w:tc>
      </w:tr>
      <w:tr>
        <w:tc>
          <w:tcPr/>
          <w:p>
            <w:pPr>
              <w:pStyle w:val="Compact"/>
              <w:jc w:val="left"/>
            </w:pPr>
            <w:r>
              <w:t xml:space="preserve">4</w:t>
            </w:r>
          </w:p>
        </w:tc>
        <w:tc>
          <w:tcPr/>
          <w:p>
            <w:pPr>
              <w:pStyle w:val="Compact"/>
              <w:jc w:val="left"/>
            </w:pPr>
            <w:r>
              <w:rPr>
                <w:bCs/>
                <w:b/>
              </w:rPr>
              <w:t xml:space="preserve">Consultation with Tehran Municipality:</w:t>
            </w:r>
            <w:r>
              <w:br/>
            </w:r>
            <w:r>
              <w:t xml:space="preserve">Representation of the client during meetings with the Tehran Department of Environment. The Environmental Engineer facilitated the review process, addressed technical queries regarding the project's ecological footprint, and secured preliminary permits.</w:t>
            </w:r>
          </w:p>
        </w:tc>
        <w:tc>
          <w:tcPr/>
          <w:p>
            <w:pPr>
              <w:pStyle w:val="Compact"/>
              <w:jc w:val="left"/>
            </w:pPr>
            <w:r>
              <w:t xml:space="preserve">10</w:t>
            </w:r>
          </w:p>
        </w:tc>
        <w:tc>
          <w:tcPr/>
          <w:p>
            <w:pPr>
              <w:pStyle w:val="Compact"/>
              <w:jc w:val="left"/>
            </w:pPr>
            <w:r>
              <w:t xml:space="preserve">3,000,000</w:t>
            </w:r>
          </w:p>
        </w:tc>
        <w:tc>
          <w:tcPr/>
          <w:p>
            <w:pPr>
              <w:pStyle w:val="Compact"/>
              <w:jc w:val="left"/>
            </w:pPr>
            <w:r>
              <w:t xml:space="preserve">30,000,000</w:t>
            </w:r>
          </w:p>
        </w:tc>
      </w:tr>
      <w:tr>
        <w:tc>
          <w:tcPr/>
          <w:p>
            <w:pPr>
              <w:pStyle w:val="Compact"/>
              <w:jc w:val="left"/>
            </w:pPr>
            <w:r>
              <w:t xml:space="preserve">5</w:t>
            </w:r>
          </w:p>
        </w:tc>
        <w:tc>
          <w:tcPr/>
          <w:p>
            <w:pPr>
              <w:pStyle w:val="Compact"/>
              <w:jc w:val="left"/>
            </w:pPr>
            <w:r>
              <w:rPr>
                <w:bCs/>
                <w:b/>
              </w:rPr>
              <w:t xml:space="preserve">Ecological Restoration Strategy:</w:t>
            </w:r>
            <w:r>
              <w:br/>
            </w:r>
            <w:r>
              <w:t xml:space="preserve">Proposal for reforestation and green belt development around the industrial site to offset carbon emissions. The plan utilizes native flora suitable for the Tehran climate to ensure long-term sustainability and biodiversity support.</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r>
    </w:tbl>
    <w:p>
      <w:pPr>
        <w:pStyle w:val="BodyText"/>
      </w:pPr>
      <w:r>
        <w:t xml:space="preserve">Subtotal:</w:t>
      </w:r>
      <w:r>
        <w:t xml:space="preserve"> </w:t>
      </w:r>
      <w:r>
        <w:t xml:space="preserve">380,000,000 IRR</w:t>
      </w:r>
    </w:p>
    <w:p>
      <w:pPr>
        <w:pStyle w:val="BodyText"/>
      </w:pPr>
      <w:r>
        <w:t xml:space="preserve">VAT (9%):</w:t>
      </w:r>
      <w:r>
        <w:t xml:space="preserve"> </w:t>
      </w:r>
      <w:r>
        <w:t xml:space="preserve">34,200,000 IRR</w:t>
      </w:r>
    </w:p>
    <w:p>
      <w:pPr>
        <w:pStyle w:val="BodyText"/>
      </w:pPr>
      <w:r>
        <w:t xml:space="preserve">Total Due:</w:t>
      </w:r>
      <w:r>
        <w:t xml:space="preserve"> </w:t>
      </w:r>
      <w:r>
        <w:t xml:space="preserve">414,200,000 IRR</w:t>
      </w:r>
    </w:p>
    <w:bookmarkStart w:id="24" w:name="payment-terms-and-conditions"/>
    <w:p>
      <w:pPr>
        <w:pStyle w:val="Heading4"/>
      </w:pPr>
      <w:r>
        <w:t xml:space="preserve">Payment Terms and Conditions:</w:t>
      </w:r>
    </w:p>
    <w:p>
      <w:pPr>
        <w:pStyle w:val="FirstParagraph"/>
      </w:pPr>
      <w:r>
        <w:t xml:space="preserve">Payment is due within 30 days of the invoice date. Please reference Invoice Number</w:t>
      </w:r>
      <w:r>
        <w:t xml:space="preserve"> </w:t>
      </w:r>
      <w:r>
        <w:rPr>
          <w:bCs/>
          <w:b/>
        </w:rPr>
        <w:t xml:space="preserve">INV-TEH-2023-089</w:t>
      </w:r>
      <w:r>
        <w:t xml:space="preserve"> </w:t>
      </w:r>
      <w:r>
        <w:t xml:space="preserve">on all payments.</w:t>
      </w:r>
    </w:p>
    <w:p>
      <w:pPr>
        <w:pStyle w:val="BodyText"/>
      </w:pPr>
      <w:r>
        <w:rPr>
          <w:bCs/>
          <w:b/>
        </w:rPr>
        <w:t xml:space="preserve">Bank Details:</w:t>
      </w:r>
      <w:r>
        <w:br/>
      </w:r>
      <w:r>
        <w:t xml:space="preserve">Bank: Bank Melli Iran</w:t>
      </w:r>
      <w:r>
        <w:br/>
      </w:r>
      <w:r>
        <w:t xml:space="preserve">Branch: Valiasr Branch, Tehran</w:t>
      </w:r>
      <w:r>
        <w:br/>
      </w:r>
      <w:r>
        <w:t xml:space="preserve">Account Name: Green Horizon Environmental Solutions</w:t>
      </w:r>
      <w:r>
        <w:br/>
      </w:r>
      <w:r>
        <w:t xml:space="preserve">IBAN: IR00 0000 0000 0000 0000 0000 0000</w:t>
      </w:r>
    </w:p>
    <w:bookmarkEnd w:id="24"/>
    <w:bookmarkStart w:id="25" w:name="scope-of-work-clarification"/>
    <w:p>
      <w:pPr>
        <w:pStyle w:val="Heading4"/>
      </w:pPr>
      <w:r>
        <w:t xml:space="preserve">Scope of Work Clarification:</w:t>
      </w:r>
    </w:p>
    <w:p>
      <w:pPr>
        <w:pStyle w:val="FirstParagraph"/>
      </w:pPr>
      <w:r>
        <w:t xml:space="preserve">This invoice represents the professional fees for the Environmental Engineer's expertise. It does not include third-party laboratory testing fees or government permit application fees, which are billed separately. The services provided ensure that the client's operations in Tehran adhere to the strictest environmental regulations, mitigating legal risks and promoting sustainable industrial growth.</w:t>
      </w:r>
    </w:p>
    <w:p>
      <w:pPr>
        <w:pStyle w:val="BodyText"/>
      </w:pPr>
      <w:r>
        <w:t xml:space="preserve">Late payments may incur a penalty of 2% per month. If you have any questions regarding the services rendered or the calculations on this invoice, please contact our accounts department immediately.</w:t>
      </w:r>
    </w:p>
    <w:bookmarkEnd w:id="25"/>
    <w:p>
      <w:pPr>
        <w:pStyle w:val="BodyText"/>
      </w:pPr>
      <w:r>
        <w:rPr>
          <w:bCs/>
          <w:b/>
        </w:rPr>
        <w:t xml:space="preserve">Authorized By (Service Provider)</w:t>
      </w:r>
    </w:p>
    <w:p>
      <w:pPr>
        <w:pStyle w:val="BodyText"/>
      </w:pPr>
      <w:r>
        <w:t xml:space="preserve">Dr. Ali Rezaei, P.E.</w:t>
      </w:r>
    </w:p>
    <w:p>
      <w:pPr>
        <w:pStyle w:val="BodyText"/>
      </w:pPr>
      <w:r>
        <w:t xml:space="preserve">Lead Environmental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Green Horizon Environmental Solutions © 2023. All Rights Reserved.</w:t>
      </w:r>
    </w:p>
    <w:p>
      <w:pPr>
        <w:pStyle w:val="BodyText"/>
      </w:pPr>
      <w:r>
        <w:t xml:space="preserve">Registered in Tehran, Iran. Committed to sustainable engineering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2026-10-10T05:01:00Z</dcterms:created>
  <dcterms:modified xsi:type="dcterms:W3CDTF">2026-10-10T05:01:00Z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