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solutions"/>
    <w:p>
      <w:pPr>
        <w:pStyle w:val="Heading1"/>
      </w:pPr>
      <w:r>
        <w:t xml:space="preserve">GreenHorizon Environmental Solutions</w:t>
      </w:r>
    </w:p>
    <w:p>
      <w:pPr>
        <w:pStyle w:val="FirstParagraph"/>
      </w:pPr>
      <w:r>
        <w:rPr>
          <w:bCs/>
          <w:b/>
        </w:rPr>
        <w:t xml:space="preserve">Licensed Environmental Engineering Firm</w:t>
      </w:r>
    </w:p>
    <w:p>
      <w:pPr>
        <w:pStyle w:val="BodyText"/>
      </w:pPr>
      <w:r>
        <w:t xml:space="preserve">12 King David Street, Talpiot</w:t>
      </w:r>
    </w:p>
    <w:p>
      <w:pPr>
        <w:pStyle w:val="BodyText"/>
      </w:pPr>
      <w:r>
        <w:t xml:space="preserve">Jerusalem, 9412345, Israel</w:t>
      </w:r>
    </w:p>
    <w:p>
      <w:pPr>
        <w:pStyle w:val="BodyText"/>
      </w:pPr>
      <w:r>
        <w:t xml:space="preserve">VAT ID: 501234567</w:t>
      </w:r>
    </w:p>
    <w:p>
      <w:pPr>
        <w:pStyle w:val="BodyText"/>
      </w:pPr>
      <w:r>
        <w:t xml:space="preserve">Email: billing@greenhorizon-il.com</w:t>
      </w:r>
    </w:p>
    <w:p>
      <w:pPr>
        <w:pStyle w:val="BodyText"/>
      </w:pPr>
      <w:r>
        <w:t xml:space="preserve">Phone: +972-2-555-0199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INV-2023-JER-0892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Jerusalem Municipal Development Authority</w:t>
      </w:r>
    </w:p>
    <w:p>
      <w:pPr>
        <w:pStyle w:val="BodyText"/>
      </w:pPr>
      <w:r>
        <w:t xml:space="preserve">Attn: Procurement Department</w:t>
      </w:r>
    </w:p>
    <w:p>
      <w:pPr>
        <w:pStyle w:val="BodyText"/>
      </w:pPr>
      <w:r>
        <w:t xml:space="preserve">City Hall, Jaffa Road</w:t>
      </w:r>
    </w:p>
    <w:p>
      <w:pPr>
        <w:pStyle w:val="BodyText"/>
      </w:pPr>
      <w:r>
        <w:t xml:space="preserve">Jerusalem, 9412345, Israel</w:t>
      </w:r>
    </w:p>
    <w:p>
      <w:pPr>
        <w:pStyle w:val="BodyText"/>
      </w:pPr>
      <w:r>
        <w:t xml:space="preserve">Contact: Mr. David Cohen</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Urban Air Quality &amp; Waste Management Optimization</w:t>
      </w:r>
    </w:p>
    <w:p>
      <w:pPr>
        <w:pStyle w:val="BodyText"/>
      </w:pPr>
      <w:r>
        <w:rPr>
          <w:bCs/>
          <w:b/>
        </w:rPr>
        <w:t xml:space="preserve">Location:</w:t>
      </w:r>
      <w:r>
        <w:t xml:space="preserve"> </w:t>
      </w:r>
      <w:r>
        <w:t xml:space="preserve">Central District, Jerusalem, Israel</w:t>
      </w:r>
    </w:p>
    <w:p>
      <w:pPr>
        <w:pStyle w:val="BodyText"/>
      </w:pPr>
      <w:r>
        <w:rPr>
          <w:bCs/>
          <w:b/>
        </w:rPr>
        <w:t xml:space="preserve">Service Period:</w:t>
      </w:r>
      <w:r>
        <w:t xml:space="preserve"> </w:t>
      </w:r>
      <w:r>
        <w:t xml:space="preserve">September 1, 2023 - September 30,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Quantity / Hours</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rPr>
                <w:bCs/>
                <w:b/>
              </w:rPr>
              <w:t xml:space="preserve">Comprehensive Environmental Impact Assessment (EIA)</w:t>
            </w:r>
            <w:r>
              <w:br/>
            </w:r>
            <w:r>
              <w:t xml:space="preserve">Detailed analysis of proposed construction projects in Jerusalem regarding local flora, fauna, and noise pollution levels. Includes regulatory compliance review according to Israeli Ministry of Environmental Protection standards.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rPr>
                <w:bCs/>
                <w:b/>
              </w:rPr>
              <w:t xml:space="preserve">Air Quality Monitoring &amp; Analysis</w:t>
            </w:r>
            <w:r>
              <w:br/>
            </w:r>
            <w:r>
              <w:t xml:space="preserve">Deployment of particulate matter sensors (PM2.5, PM10) across the Old City perimeter. Data collection and statistical analysis to ensure adherence to national air quality guidelines.</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3</w:t>
            </w:r>
          </w:p>
        </w:tc>
        <w:tc>
          <w:tcPr/>
          <w:p>
            <w:pPr>
              <w:pStyle w:val="Compact"/>
              <w:jc w:val="left"/>
            </w:pPr>
            <w:r>
              <w:rPr>
                <w:bCs/>
                <w:b/>
              </w:rPr>
              <w:t xml:space="preserve">Wastewater Treatment System Consultation</w:t>
            </w:r>
            <w:r>
              <w:br/>
            </w:r>
            <w:r>
              <w:t xml:space="preserve">Technical audit of the municipal sewage infrastructure in the southern districts. Recommendations for upgrading filtration systems to meet modern ecological standards.</w:t>
            </w:r>
          </w:p>
        </w:tc>
        <w:tc>
          <w:tcPr/>
          <w:p>
            <w:pPr>
              <w:pStyle w:val="Compact"/>
              <w:jc w:val="left"/>
            </w:pPr>
            <w:r>
              <w:t xml:space="preserve">25</w:t>
            </w:r>
          </w:p>
        </w:tc>
        <w:tc>
          <w:tcPr/>
          <w:p>
            <w:pPr>
              <w:pStyle w:val="Compact"/>
              <w:jc w:val="left"/>
            </w:pPr>
            <w:r>
              <w:t xml:space="preserve">500.00</w:t>
            </w:r>
          </w:p>
        </w:tc>
        <w:tc>
          <w:tcPr/>
          <w:p>
            <w:pPr>
              <w:pStyle w:val="Compact"/>
              <w:jc w:val="left"/>
            </w:pPr>
            <w:r>
              <w:t xml:space="preserve">12,500.00</w:t>
            </w:r>
          </w:p>
        </w:tc>
      </w:tr>
      <w:tr>
        <w:tc>
          <w:tcPr/>
          <w:p>
            <w:pPr>
              <w:pStyle w:val="Compact"/>
              <w:jc w:val="left"/>
            </w:pPr>
            <w:r>
              <w:t xml:space="preserve">4</w:t>
            </w:r>
          </w:p>
        </w:tc>
        <w:tc>
          <w:tcPr/>
          <w:p>
            <w:pPr>
              <w:pStyle w:val="Compact"/>
              <w:jc w:val="left"/>
            </w:pPr>
            <w:r>
              <w:rPr>
                <w:bCs/>
                <w:b/>
              </w:rPr>
              <w:t xml:space="preserve">Solid Waste Management Strategy</w:t>
            </w:r>
            <w:r>
              <w:br/>
            </w:r>
            <w:r>
              <w:t xml:space="preserve">Development of a sustainable recycling and composting roadmap for residential zones. Includes feasibility study for organic waste reduction initiatives.</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5</w:t>
            </w:r>
          </w:p>
        </w:tc>
        <w:tc>
          <w:tcPr/>
          <w:p>
            <w:pPr>
              <w:pStyle w:val="Compact"/>
              <w:jc w:val="left"/>
            </w:pPr>
            <w:r>
              <w:rPr>
                <w:bCs/>
                <w:b/>
              </w:rPr>
              <w:t xml:space="preserve">Site Remediation Planning</w:t>
            </w:r>
            <w:r>
              <w:br/>
            </w:r>
            <w:r>
              <w:t xml:space="preserve">Assessment of soil contamination levels at the former industrial site in Malha. Proposal for bioremediation techniques suitable for the local geology.</w:t>
            </w:r>
          </w:p>
        </w:tc>
        <w:tc>
          <w:tcPr/>
          <w:p>
            <w:pPr>
              <w:pStyle w:val="Compact"/>
              <w:jc w:val="left"/>
            </w:pPr>
            <w:r>
              <w:t xml:space="preserve">15</w:t>
            </w:r>
          </w:p>
        </w:tc>
        <w:tc>
          <w:tcPr/>
          <w:p>
            <w:pPr>
              <w:pStyle w:val="Compact"/>
              <w:jc w:val="left"/>
            </w:pPr>
            <w:r>
              <w:t xml:space="preserve">600.00</w:t>
            </w:r>
          </w:p>
        </w:tc>
        <w:tc>
          <w:tcPr/>
          <w:p>
            <w:pPr>
              <w:pStyle w:val="Compact"/>
              <w:jc w:val="left"/>
            </w:pPr>
            <w:r>
              <w:t xml:space="preserve">9,000.00</w:t>
            </w:r>
          </w:p>
        </w:tc>
      </w:tr>
    </w:tbl>
    <w:p>
      <w:pPr>
        <w:pStyle w:val="BodyText"/>
      </w:pPr>
      <w:r>
        <w:t xml:space="preserve">Subtotal:</w:t>
      </w:r>
      <w:r>
        <w:t xml:space="preserve"> </w:t>
      </w:r>
      <w:r>
        <w:t xml:space="preserve">60,000.00 ILS</w:t>
      </w:r>
    </w:p>
    <w:p>
      <w:pPr>
        <w:pStyle w:val="BodyText"/>
      </w:pPr>
      <w:r>
        <w:t xml:space="preserve">VAT (17%):</w:t>
      </w:r>
      <w:r>
        <w:t xml:space="preserve"> </w:t>
      </w:r>
      <w:r>
        <w:t xml:space="preserve">10,200.00 ILS</w:t>
      </w:r>
    </w:p>
    <w:p>
      <w:pPr>
        <w:pStyle w:val="BodyText"/>
      </w:pPr>
      <w:r>
        <w:t xml:space="preserve">Total Due:</w:t>
      </w:r>
      <w:r>
        <w:t xml:space="preserve"> </w:t>
      </w:r>
      <w:r>
        <w:t xml:space="preserve">70,200.00 ILS</w:t>
      </w:r>
    </w:p>
    <w:bookmarkStart w:id="24" w:name="X7c284cb4b8523f2391e6583c95010bab028d47a"/>
    <w:p>
      <w:pPr>
        <w:pStyle w:val="Heading4"/>
      </w:pPr>
      <w:r>
        <w:t xml:space="preserve">Terms and Conditions &amp; Payment Instructions</w:t>
      </w:r>
    </w:p>
    <w:p>
      <w:pPr>
        <w:pStyle w:val="FirstParagraph"/>
      </w:pPr>
      <w:r>
        <w:rPr>
          <w:bCs/>
          <w:b/>
        </w:rPr>
        <w:t xml:space="preserve">1. Payment Method:</w:t>
      </w:r>
      <w:r>
        <w:t xml:space="preserve"> </w:t>
      </w:r>
      <w:r>
        <w:t xml:space="preserve">Payment is to be made via bank transfer to the following account:</w:t>
      </w:r>
      <w:r>
        <w:br/>
      </w:r>
      <w:r>
        <w:t xml:space="preserve">Bank: Bank Hapoalim</w:t>
      </w:r>
      <w:r>
        <w:br/>
      </w:r>
      <w:r>
        <w:t xml:space="preserve">Branch: Jerusalem Central</w:t>
      </w:r>
      <w:r>
        <w:br/>
      </w:r>
      <w:r>
        <w:t xml:space="preserve">Account Number: 999-88-777777</w:t>
      </w:r>
      <w:r>
        <w:br/>
      </w:r>
      <w:r>
        <w:t xml:space="preserve">IBAN: IL999999887777777777</w:t>
      </w:r>
    </w:p>
    <w:p>
      <w:pPr>
        <w:pStyle w:val="BodyText"/>
      </w:pPr>
      <w:r>
        <w:rPr>
          <w:bCs/>
          <w:b/>
        </w:rPr>
        <w:t xml:space="preserve">2. Late Payments:</w:t>
      </w:r>
      <w:r>
        <w:t xml:space="preserve"> </w:t>
      </w:r>
      <w:r>
        <w:t xml:space="preserve">In accordance with Israeli commercial law, late payments will incur interest at the statutory rate of 5% per month on the outstanding balance.</w:t>
      </w:r>
    </w:p>
    <w:p>
      <w:pPr>
        <w:pStyle w:val="BodyText"/>
      </w:pPr>
      <w:r>
        <w:rPr>
          <w:bCs/>
          <w:b/>
        </w:rPr>
        <w:t xml:space="preserve">3. Scope of Work:</w:t>
      </w:r>
      <w:r>
        <w:t xml:space="preserve"> </w:t>
      </w:r>
      <w:r>
        <w:t xml:space="preserve">This Invoice covers the professional services rendered by our team of certified Environmental Engineers. All data collected regarding air quality and soil composition is the intellectual property of GreenHorizon Environmental Solutions until full payment is received.</w:t>
      </w:r>
    </w:p>
    <w:p>
      <w:pPr>
        <w:pStyle w:val="BodyText"/>
      </w:pPr>
      <w:r>
        <w:rPr>
          <w:bCs/>
          <w:b/>
        </w:rPr>
        <w:t xml:space="preserve">4. Regulatory Compliance:</w:t>
      </w:r>
      <w:r>
        <w:t xml:space="preserve"> </w:t>
      </w:r>
      <w:r>
        <w:t xml:space="preserve">All services provided adhere strictly to the Environmental Protection Law, 5742-1982, and local Jerusalem municipality bylaws.</w:t>
      </w:r>
    </w:p>
    <w:p>
      <w:pPr>
        <w:pStyle w:val="BodyText"/>
      </w:pPr>
      <w:r>
        <w:rPr>
          <w:bCs/>
          <w:b/>
        </w:rPr>
        <w:t xml:space="preserve">5. Disputes:</w:t>
      </w:r>
      <w:r>
        <w:t xml:space="preserve"> </w:t>
      </w:r>
      <w:r>
        <w:t xml:space="preserve">Any disputes regarding this Invoice must be raised in writing within 14 days of the invoice date.</w:t>
      </w:r>
    </w:p>
    <w:bookmarkEnd w:id="24"/>
    <w:p>
      <w:pPr>
        <w:pStyle w:val="BodyText"/>
      </w:pPr>
      <w:r>
        <w:rPr>
          <w:bCs/>
          <w:b/>
        </w:rPr>
        <w:t xml:space="preserve">Authorized Signature (Issuer)</w:t>
      </w:r>
    </w:p>
    <w:p>
      <w:pPr>
        <w:pStyle w:val="BodyText"/>
      </w:pPr>
      <w:r>
        <w:t xml:space="preserve">Dr. Sarah Levi, P.E.</w:t>
      </w:r>
    </w:p>
    <w:p>
      <w:pPr>
        <w:pStyle w:val="BodyText"/>
      </w:pPr>
      <w:r>
        <w:t xml:space="preserve">Senior Environmental Engineer</w:t>
      </w:r>
    </w:p>
    <w:p>
      <w:pPr>
        <w:pStyle w:val="BodyText"/>
      </w:pPr>
      <w:r>
        <w:rPr>
          <w:bCs/>
          <w:b/>
        </w:rPr>
        <w:t xml:space="preserve">Received By (Client)</w:t>
      </w:r>
    </w:p>
    <w:p>
      <w:pPr>
        <w:pStyle w:val="BodyText"/>
      </w:pPr>
      <w:r>
        <w:t xml:space="preserve">Date:</w:t>
      </w:r>
    </w:p>
    <w:p>
      <w:pPr>
        <w:pStyle w:val="BodyText"/>
      </w:pPr>
      <w:r>
        <w:t xml:space="preserve">Thank you for choosing GreenHorizon Environmental Solutions for your engineering needs in Israel Jerusalem.</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2026-10-10T02:16:20Z</dcterms:created>
  <dcterms:modified xsi:type="dcterms:W3CDTF">2026-10-10T02:16:20Z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