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tech-environmental-solutions-ltd."/>
    <w:p>
      <w:pPr>
        <w:pStyle w:val="Heading1"/>
      </w:pPr>
      <w:r>
        <w:t xml:space="preserve">EcoTech Environmental Solutions Ltd.</w:t>
      </w:r>
    </w:p>
    <w:p>
      <w:pPr>
        <w:pStyle w:val="FirstParagraph"/>
      </w:pPr>
      <w:r>
        <w:t xml:space="preserve">Professional Environmental Engineering Services</w:t>
      </w:r>
    </w:p>
    <w:p>
      <w:pPr>
        <w:pStyle w:val="BodyText"/>
      </w:pPr>
      <w:r>
        <w:t xml:space="preserve">12 HaYarkon Street, Tel Aviv-Yafo, Israel 6473101</w:t>
      </w:r>
    </w:p>
    <w:p>
      <w:pPr>
        <w:pStyle w:val="BodyText"/>
      </w:pPr>
      <w:r>
        <w:t xml:space="preserve">VAT ID: 512345678</w:t>
      </w:r>
    </w:p>
    <w:p>
      <w:pPr>
        <w:pStyle w:val="BodyText"/>
      </w:pPr>
      <w:r>
        <w:t xml:space="preserve">Phone: +972-3-555-1234 | Email: billing@ecotech-il.com</w:t>
      </w:r>
    </w:p>
    <w:p>
      <w:pPr>
        <w:pStyle w:val="BodyText"/>
      </w:pPr>
      <w:r>
        <w:t xml:space="preserve">License No: 12345 (Ministry of Environmental Protection)</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Green Horizon Development Corp.</w:t>
      </w:r>
    </w:p>
    <w:p>
      <w:pPr>
        <w:pStyle w:val="BodyText"/>
      </w:pPr>
      <w:r>
        <w:t xml:space="preserve">45 Rothschild Boulevard</w:t>
      </w:r>
    </w:p>
    <w:p>
      <w:pPr>
        <w:pStyle w:val="BodyText"/>
      </w:pPr>
      <w:r>
        <w:t xml:space="preserve">Tel Aviv-Yafo, Israel 6688101</w:t>
      </w:r>
    </w:p>
    <w:p>
      <w:pPr>
        <w:pStyle w:val="BodyText"/>
      </w:pPr>
      <w:r>
        <w:t xml:space="preserve">VAT ID: 598765432</w:t>
      </w:r>
    </w:p>
    <w:p>
      <w:pPr>
        <w:pStyle w:val="BodyText"/>
      </w:pPr>
      <w:r>
        <w:t xml:space="preserve">Contact: Mr. David Cohen, Project Manager</w:t>
      </w:r>
    </w:p>
    <w:p>
      <w:pPr>
        <w:pStyle w:val="BodyText"/>
      </w:pPr>
      <w:r>
        <w:t xml:space="preserve">Email: david.cohen@greenhorizon.co.il</w:t>
      </w:r>
    </w:p>
    <w:bookmarkEnd w:id="22"/>
    <w:bookmarkStart w:id="23" w:name="invoice-information"/>
    <w:p>
      <w:pPr>
        <w:pStyle w:val="Heading3"/>
      </w:pPr>
      <w:r>
        <w:t xml:space="preserve">Invoice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 (30 Days)</w:t>
            </w:r>
          </w:p>
        </w:tc>
      </w:tr>
      <w:tr>
        <w:tc>
          <w:tcPr/>
          <w:p>
            <w:pPr>
              <w:pStyle w:val="Compact"/>
              <w:jc w:val="left"/>
            </w:pPr>
            <w:r>
              <w:t xml:space="preserve">Project Reference:</w:t>
            </w:r>
          </w:p>
        </w:tc>
        <w:tc>
          <w:tcPr/>
          <w:p>
            <w:pPr>
              <w:pStyle w:val="Compact"/>
              <w:jc w:val="left"/>
            </w:pPr>
            <w:r>
              <w:t xml:space="preserve">GH-TLV-ENV-2024-03</w:t>
            </w:r>
          </w:p>
        </w:tc>
      </w:tr>
      <w:tr>
        <w:tc>
          <w:tcPr/>
          <w:p>
            <w:pPr>
              <w:pStyle w:val="Compact"/>
              <w:jc w:val="left"/>
            </w:pPr>
            <w:r>
              <w:t xml:space="preserve">Service Period:</w:t>
            </w:r>
          </w:p>
        </w:tc>
        <w:tc>
          <w:tcPr/>
          <w:p>
            <w:pPr>
              <w:pStyle w:val="Compact"/>
              <w:jc w:val="left"/>
            </w:pPr>
            <w:r>
              <w:t xml:space="preserve">September 1 - October 10, 2024</w:t>
            </w:r>
          </w:p>
        </w:tc>
      </w:tr>
      <w:tr>
        <w:tc>
          <w:tcPr/>
          <w:p>
            <w:pPr>
              <w:pStyle w:val="Compact"/>
              <w:jc w:val="left"/>
            </w:pPr>
            <w:r>
              <w:t xml:space="preserve">Currency:</w:t>
            </w:r>
          </w:p>
        </w:tc>
        <w:tc>
          <w:tcPr/>
          <w:p>
            <w:pPr>
              <w:pStyle w:val="Compact"/>
              <w:jc w:val="left"/>
            </w:pPr>
            <w:r>
              <w:t xml:space="preserve">ILS (Israeli New Shekel)</w:t>
            </w:r>
          </w:p>
        </w:tc>
      </w:tr>
    </w:tbl>
    <w:bookmarkEnd w:id="23"/>
    <w:bookmarkStart w:id="26" w:name="Xf5f4d4a8cdd1782344f79aa82ea1697609c488d"/>
    <w:p>
      <w:pPr>
        <w:pStyle w:val="Heading3"/>
      </w:pPr>
      <w:r>
        <w:t xml:space="preserve">Description of Environmental Engineering Services:</w:t>
      </w:r>
    </w:p>
    <w:p>
      <w:pPr>
        <w:pStyle w:val="FirstParagraph"/>
      </w:pPr>
      <w:r>
        <w:t xml:space="preserve">This Invoice details the comprehensive environmental engineering consultancy and technical services provided by EcoTech Environmental Solutions Ltd. to Green Horizon Development Corp. for the proposed mixed-use development project located in the Florentin district of Tel Aviv-Yafo, Israel. All services were performed in strict accordance with the regulations set forth by the Israeli Ministry of Environmental Protection, the Tel Aviv-Yafo Municipal Planning and Building Committee, and relevant international environmental standards. The scope of work included environmental impact assessments, soil contamination analysis, water resource management planning, noise pollution modeling, and sustainability consulting to ensure regulatory compliance and ecological responsibility throughout the development lifecycle.</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Amount (ILS)</w:t>
            </w:r>
          </w:p>
        </w:tc>
        <w:tc>
          <w:tcPr/>
          <w:p>
            <w:pPr>
              <w:pStyle w:val="Compact"/>
              <w:jc w:val="left"/>
            </w:pPr>
            <w:r>
              <w:t xml:space="preserve">VAT 17%</w:t>
            </w:r>
          </w:p>
        </w:tc>
      </w:tr>
      <w:tr>
        <w:tc>
          <w:tcPr/>
          <w:p>
            <w:pPr>
              <w:pStyle w:val="Compact"/>
              <w:jc w:val="left"/>
            </w:pPr>
            <w:r>
              <w:t xml:space="preserve">1</w:t>
            </w:r>
          </w:p>
        </w:tc>
        <w:tc>
          <w:tcPr/>
          <w:p>
            <w:pPr>
              <w:pStyle w:val="Compact"/>
              <w:jc w:val="left"/>
            </w:pPr>
            <w:r>
              <w:rPr>
                <w:bCs/>
                <w:b/>
              </w:rPr>
              <w:t xml:space="preserve">Phase I Environmental Site Assessment (ESA)</w:t>
            </w:r>
            <w:r>
              <w:br/>
            </w:r>
            <w:r>
              <w:t xml:space="preserve">Comprehensive historical research, site reconnaissance, and regulatory database review for the Tel Aviv development site. Included identification of potential environmental liabilities, review of previous land use records from the Israel Land Authority, and preparation of detailed Phase I ESA report compliant with Israeli environmental due diligence standards.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3,145.00</w:t>
            </w:r>
          </w:p>
        </w:tc>
      </w:tr>
      <w:tr>
        <w:tc>
          <w:tcPr/>
          <w:p>
            <w:pPr>
              <w:pStyle w:val="Compact"/>
              <w:jc w:val="left"/>
            </w:pPr>
            <w:r>
              <w:t xml:space="preserve">2</w:t>
            </w:r>
          </w:p>
        </w:tc>
        <w:tc>
          <w:tcPr/>
          <w:p>
            <w:pPr>
              <w:pStyle w:val="Compact"/>
              <w:jc w:val="left"/>
            </w:pPr>
            <w:r>
              <w:rPr>
                <w:bCs/>
                <w:b/>
              </w:rPr>
              <w:t xml:space="preserve">Soil and Groundwater Contamination Investigation</w:t>
            </w:r>
            <w:r>
              <w:br/>
            </w:r>
            <w:r>
              <w:t xml:space="preserve">Design and supervision of soil boring program (15 boreholes), collection and laboratory analysis of soil and groundwater samples for heavy metals, hydrocarbons, and volatile organic compounds (VOCs). Analysis performed at certified Israeli laboratory. Includes detailed Phase II ESA report with remediation recommendations if contamination exceeds Ministry of Environmental Protection thresholds.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7,140.00</w:t>
            </w:r>
          </w:p>
        </w:tc>
      </w:tr>
      <w:tr>
        <w:tc>
          <w:tcPr/>
          <w:p>
            <w:pPr>
              <w:pStyle w:val="Compact"/>
              <w:jc w:val="left"/>
            </w:pPr>
            <w:r>
              <w:t xml:space="preserve">3</w:t>
            </w:r>
          </w:p>
        </w:tc>
        <w:tc>
          <w:tcPr/>
          <w:p>
            <w:pPr>
              <w:pStyle w:val="Compact"/>
              <w:jc w:val="left"/>
            </w:pPr>
            <w:r>
              <w:rPr>
                <w:bCs/>
                <w:b/>
              </w:rPr>
              <w:t xml:space="preserve">Environmental Impact Assessment (EIA) - Air Quality &amp; Noise</w:t>
            </w:r>
            <w:r>
              <w:br/>
            </w:r>
            <w:r>
              <w:t xml:space="preserve">Baseline air quality monitoring and predictive modeling for construction and operational phases. Noise impact assessment including traffic noise modeling, construction noise predictions, and mitigation strategies. Compliance verification with Tel Aviv-Yafo municipal noise ordinances and Israeli air quality standards. Preparation of technical EIA chapters for submission to the planning committee.</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c>
          <w:tcPr/>
          <w:p>
            <w:pPr>
              <w:pStyle w:val="Compact"/>
              <w:jc w:val="left"/>
            </w:pPr>
            <w:r>
              <w:t xml:space="preserve">4,887.50</w:t>
            </w:r>
          </w:p>
        </w:tc>
      </w:tr>
      <w:tr>
        <w:tc>
          <w:tcPr/>
          <w:p>
            <w:pPr>
              <w:pStyle w:val="Compact"/>
              <w:jc w:val="left"/>
            </w:pPr>
            <w:r>
              <w:t xml:space="preserve">4</w:t>
            </w:r>
          </w:p>
        </w:tc>
        <w:tc>
          <w:tcPr/>
          <w:p>
            <w:pPr>
              <w:pStyle w:val="Compact"/>
              <w:jc w:val="left"/>
            </w:pPr>
            <w:r>
              <w:rPr>
                <w:bCs/>
                <w:b/>
              </w:rPr>
              <w:t xml:space="preserve">Stormwater Management and Sustainable Drainage Design</w:t>
            </w:r>
            <w:r>
              <w:br/>
            </w:r>
            <w:r>
              <w:t xml:space="preserve">Hydrological analysis and design of sustainable urban drainage system (SUDS) for the development site. Includes rainwater harvesting system design, permeable pavement specifications, bioswale design, and connection plans to Tel Aviv municipal stormwater infrastructure. Ensures compliance with Israeli water authority regulations and promotes water conservation in accordance with national sustainability goals.</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c>
          <w:tcPr/>
          <w:p>
            <w:pPr>
              <w:pStyle w:val="Compact"/>
              <w:jc w:val="left"/>
            </w:pPr>
            <w:r>
              <w:t xml:space="preserve">3,791.00</w:t>
            </w:r>
          </w:p>
        </w:tc>
      </w:tr>
      <w:tr>
        <w:tc>
          <w:tcPr/>
          <w:p>
            <w:pPr>
              <w:pStyle w:val="Compact"/>
              <w:jc w:val="left"/>
            </w:pPr>
            <w:r>
              <w:t xml:space="preserve">5</w:t>
            </w:r>
          </w:p>
        </w:tc>
        <w:tc>
          <w:tcPr/>
          <w:p>
            <w:pPr>
              <w:pStyle w:val="Compact"/>
              <w:jc w:val="left"/>
            </w:pPr>
            <w:r>
              <w:rPr>
                <w:bCs/>
                <w:b/>
              </w:rPr>
              <w:t xml:space="preserve">Ecological Survey and Biodiversity Impact Assessment</w:t>
            </w:r>
            <w:r>
              <w:br/>
            </w:r>
            <w:r>
              <w:t xml:space="preserve">Field survey of local flora and fauna, identification of protected species under Israeli Nature and Parks Authority regulations, assessment of potential impacts on local ecosystems, and development of biodiversity mitigation and enhancement plan. Includes recommendations for green infrastructure integration and native landscaping to support local ecological networks in the Tel Aviv metropolitan area.</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c>
          <w:tcPr/>
          <w:p>
            <w:pPr>
              <w:pStyle w:val="Compact"/>
              <w:jc w:val="left"/>
            </w:pPr>
            <w:r>
              <w:t xml:space="preserve">2,686.00</w:t>
            </w:r>
          </w:p>
        </w:tc>
      </w:tr>
      <w:tr>
        <w:tc>
          <w:tcPr/>
          <w:p>
            <w:pPr>
              <w:pStyle w:val="Compact"/>
              <w:jc w:val="left"/>
            </w:pPr>
            <w:r>
              <w:t xml:space="preserve">6</w:t>
            </w:r>
          </w:p>
        </w:tc>
        <w:tc>
          <w:tcPr/>
          <w:p>
            <w:pPr>
              <w:pStyle w:val="Compact"/>
              <w:jc w:val="left"/>
            </w:pPr>
            <w:r>
              <w:rPr>
                <w:bCs/>
                <w:b/>
              </w:rPr>
              <w:t xml:space="preserve">Environmental Management Plan (EMP) Development</w:t>
            </w:r>
            <w:r>
              <w:br/>
            </w:r>
            <w:r>
              <w:t xml:space="preserve">Preparation of comprehensive Environmental Management Plan for construction and operational phases. Includes waste management protocols, pollution prevention measures, environmental monitoring procedures, staff training requirements, and emergency response plans. Designed to ensure ongoing compliance with Israeli environmental legislation and to support the client's commitment to sustainable development practices in Tel Aviv.</w:t>
            </w:r>
          </w:p>
        </w:tc>
        <w:tc>
          <w:tcPr/>
          <w:p>
            <w:pPr>
              <w:pStyle w:val="Compact"/>
              <w:jc w:val="left"/>
            </w:pPr>
            <w:r>
              <w:t xml:space="preserve">1</w:t>
            </w:r>
          </w:p>
        </w:tc>
        <w:tc>
          <w:tcPr/>
          <w:p>
            <w:pPr>
              <w:pStyle w:val="Compact"/>
              <w:jc w:val="left"/>
            </w:pPr>
            <w:r>
              <w:t xml:space="preserve">19,650.00</w:t>
            </w:r>
          </w:p>
        </w:tc>
        <w:tc>
          <w:tcPr/>
          <w:p>
            <w:pPr>
              <w:pStyle w:val="Compact"/>
              <w:jc w:val="left"/>
            </w:pPr>
            <w:r>
              <w:t xml:space="preserve">19,650.00</w:t>
            </w:r>
          </w:p>
        </w:tc>
        <w:tc>
          <w:tcPr/>
          <w:p>
            <w:pPr>
              <w:pStyle w:val="Compact"/>
              <w:jc w:val="left"/>
            </w:pPr>
            <w:r>
              <w:t xml:space="preserve">3,340.50</w:t>
            </w:r>
          </w:p>
        </w:tc>
      </w:tr>
      <w:tr>
        <w:tc>
          <w:tcPr/>
          <w:p>
            <w:pPr>
              <w:pStyle w:val="Compact"/>
              <w:jc w:val="left"/>
            </w:pPr>
            <w:r>
              <w:t xml:space="preserve">7</w:t>
            </w:r>
          </w:p>
        </w:tc>
        <w:tc>
          <w:tcPr/>
          <w:p>
            <w:pPr>
              <w:pStyle w:val="Compact"/>
              <w:jc w:val="left"/>
            </w:pPr>
            <w:r>
              <w:rPr>
                <w:bCs/>
                <w:b/>
              </w:rPr>
              <w:t xml:space="preserve">Regulatory Consultation and Permitting Support</w:t>
            </w:r>
            <w:r>
              <w:br/>
            </w:r>
            <w:r>
              <w:t xml:space="preserve">Professional consultation services for environmental permitting processes with the Ministry of Environmental Protection, Tel Aviv-Yafo Municipality, and the Israel Water Authority. Includes preparation of permit applications, response to regulatory inquiries, coordination with government agencies, and attendance at two planning committee meetings as environmental expert witness.</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c>
          <w:tcPr/>
          <w:p>
            <w:pPr>
              <w:pStyle w:val="Compact"/>
              <w:jc w:val="left"/>
            </w:pPr>
            <w:r>
              <w:t xml:space="preserve">2,414.00</w:t>
            </w:r>
          </w:p>
        </w:tc>
      </w:tr>
      <w:tr>
        <w:tc>
          <w:tcPr/>
          <w:p>
            <w:pPr>
              <w:pStyle w:val="Compact"/>
              <w:jc w:val="left"/>
            </w:pPr>
            <w:r>
              <w:t xml:space="preserve">8</w:t>
            </w:r>
          </w:p>
        </w:tc>
        <w:tc>
          <w:tcPr/>
          <w:p>
            <w:pPr>
              <w:pStyle w:val="Compact"/>
              <w:jc w:val="left"/>
            </w:pPr>
            <w:r>
              <w:rPr>
                <w:bCs/>
                <w:b/>
              </w:rPr>
              <w:t xml:space="preserve">Green Building Certification Consulting (LEED/Israel Green Building Council)</w:t>
            </w:r>
            <w:r>
              <w:br/>
            </w:r>
            <w:r>
              <w:t xml:space="preserve">Advisory services for achieving green building certification. Includes energy efficiency recommendations, sustainable material selection guidance, indoor environmental quality optimization, and documentation support for certification applications. Aligns project with international sustainability standards and Israeli green building initiatives.</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c>
          <w:tcPr/>
          <w:p>
            <w:pPr>
              <w:pStyle w:val="Compact"/>
              <w:jc w:val="left"/>
            </w:pPr>
            <w:r>
              <w:t xml:space="preserve">1,955.00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left"/>
            </w:pPr>
            <w:r>
              <w:t xml:space="preserve">172,700.00 ILS</w:t>
            </w:r>
          </w:p>
        </w:tc>
      </w:tr>
      <w:tr>
        <w:tc>
          <w:tcPr/>
          <w:p>
            <w:pPr>
              <w:pStyle w:val="Compact"/>
              <w:jc w:val="left"/>
            </w:pPr>
            <w:r>
              <w:t xml:space="preserve">VAT (17%):</w:t>
            </w:r>
          </w:p>
        </w:tc>
        <w:tc>
          <w:tcPr/>
          <w:p>
            <w:pPr>
              <w:pStyle w:val="Compact"/>
              <w:jc w:val="left"/>
            </w:pPr>
            <w:r>
              <w:t xml:space="preserve">29,359.00 ILS</w:t>
            </w:r>
          </w:p>
        </w:tc>
      </w:tr>
      <w:tr>
        <w:tc>
          <w:tcPr/>
          <w:p>
            <w:pPr>
              <w:pStyle w:val="Compact"/>
              <w:jc w:val="left"/>
            </w:pPr>
            <w:r>
              <w:t xml:space="preserve">TOTAL AMOUNT DUE:</w:t>
            </w:r>
          </w:p>
        </w:tc>
        <w:tc>
          <w:tcPr/>
          <w:p>
            <w:pPr>
              <w:pStyle w:val="Compact"/>
              <w:jc w:val="left"/>
            </w:pPr>
            <w:r>
              <w:t xml:space="preserve">202,059.00 ILS</w:t>
            </w:r>
          </w:p>
        </w:tc>
      </w:tr>
    </w:tbl>
    <w:bookmarkStart w:id="24" w:name="payment-instructions"/>
    <w:p>
      <w:pPr>
        <w:pStyle w:val="Heading4"/>
      </w:pPr>
      <w:r>
        <w:t xml:space="preserve">Payment Instructions:</w:t>
      </w:r>
    </w:p>
    <w:p>
      <w:pPr>
        <w:pStyle w:val="FirstParagraph"/>
      </w:pPr>
      <w:r>
        <w:rPr>
          <w:bCs/>
          <w:b/>
        </w:rPr>
        <w:t xml:space="preserve">Bank Transfer (Preferred):</w:t>
      </w:r>
    </w:p>
    <w:p>
      <w:pPr>
        <w:pStyle w:val="BodyText"/>
      </w:pPr>
      <w:r>
        <w:t xml:space="preserve">Bank: Bank Hapoalim, Israel</w:t>
      </w:r>
    </w:p>
    <w:p>
      <w:pPr>
        <w:pStyle w:val="BodyText"/>
      </w:pPr>
      <w:r>
        <w:t xml:space="preserve">Branch: Tel Aviv Central, Branch Code: 001</w:t>
      </w:r>
    </w:p>
    <w:p>
      <w:pPr>
        <w:pStyle w:val="BodyText"/>
      </w:pPr>
      <w:r>
        <w:t xml:space="preserve">Account Name: EcoTech Environmental Solutions Ltd.</w:t>
      </w:r>
    </w:p>
    <w:p>
      <w:pPr>
        <w:pStyle w:val="BodyText"/>
      </w:pPr>
      <w:r>
        <w:t xml:space="preserve">Account Number: 9988776655</w:t>
      </w:r>
    </w:p>
    <w:p>
      <w:pPr>
        <w:pStyle w:val="BodyText"/>
      </w:pPr>
      <w:r>
        <w:t xml:space="preserve">SWIFT/BIC: POALILIT</w:t>
      </w:r>
    </w:p>
    <w:p>
      <w:pPr>
        <w:pStyle w:val="BodyText"/>
      </w:pPr>
      <w:r>
        <w:rPr>
          <w:bCs/>
          <w:b/>
        </w:rPr>
        <w:t xml:space="preserve">Please reference Invoice Number INV-2024-0847 in your payment details.</w:t>
      </w:r>
    </w:p>
    <w:p>
      <w:pPr>
        <w:pStyle w:val="BodyText"/>
      </w:pPr>
      <w:r>
        <w:rPr>
          <w:bCs/>
          <w:b/>
        </w:rPr>
        <w:t xml:space="preserve">Payment Terms:</w:t>
      </w:r>
      <w:r>
        <w:t xml:space="preserve"> </w:t>
      </w:r>
      <w:r>
        <w:t xml:space="preserve">Payment is due within 30 days from the invoice date. Late payments will incur interest at the rate prescribed by Israeli law (currently 5% per annum above the base rate).</w:t>
      </w:r>
    </w:p>
    <w:bookmarkEnd w:id="24"/>
    <w:bookmarkStart w:id="25" w:name="terms-and-conditions"/>
    <w:p>
      <w:pPr>
        <w:pStyle w:val="Heading4"/>
      </w:pPr>
      <w:r>
        <w:t xml:space="preserve">Terms and Conditions:</w:t>
      </w:r>
    </w:p>
    <w:p>
      <w:pPr>
        <w:numPr>
          <w:ilvl w:val="0"/>
          <w:numId w:val="1001"/>
        </w:numPr>
        <w:pStyle w:val="Compact"/>
      </w:pPr>
      <w:r>
        <w:t xml:space="preserve">All services described in this Invoice were performed by licensed Environmental Engineers registered with the Israeli Institute of Environmental Engineers and in compliance with all applicable Israeli environmental laws and regulations.</w:t>
      </w:r>
    </w:p>
    <w:p>
      <w:pPr>
        <w:numPr>
          <w:ilvl w:val="0"/>
          <w:numId w:val="1001"/>
        </w:numPr>
        <w:pStyle w:val="Compact"/>
      </w:pPr>
      <w:r>
        <w:t xml:space="preserve">This Invoice is issued in accordance with the Israeli Value Added Tax Law, 5736-1975. The VAT rate of 17% is applied as per current Israeli tax regulations.</w:t>
      </w:r>
    </w:p>
    <w:p>
      <w:pPr>
        <w:numPr>
          <w:ilvl w:val="0"/>
          <w:numId w:val="1001"/>
        </w:numPr>
        <w:pStyle w:val="Compact"/>
      </w:pPr>
      <w:r>
        <w:t xml:space="preserve">All reports, assessments, and documentation produced as part of these services remain the intellectual property of EcoTech Environmental Solutions Ltd. until full payment is received. Upon payment, a non-exclusive license is granted to the client for use in connection with the specified project in Tel Aviv-Yafo.</w:t>
      </w:r>
    </w:p>
    <w:p>
      <w:pPr>
        <w:numPr>
          <w:ilvl w:val="0"/>
          <w:numId w:val="1001"/>
        </w:numPr>
        <w:pStyle w:val="Compact"/>
      </w:pPr>
      <w:r>
        <w:t xml:space="preserve">Any disputes arising from this Invoice or the services provided shall be subject to the exclusive jurisdiction of the courts of Tel Aviv-Yafo, Israel, in accordance with Israeli law.</w:t>
      </w:r>
    </w:p>
    <w:p>
      <w:pPr>
        <w:numPr>
          <w:ilvl w:val="0"/>
          <w:numId w:val="1001"/>
        </w:numPr>
        <w:pStyle w:val="Compact"/>
      </w:pPr>
      <w:r>
        <w:t xml:space="preserve">This Invoice is valid for 90 days from the date of issue. After this period, a new Invoice may be issued with updated terms.</w:t>
      </w:r>
    </w:p>
    <w:p>
      <w:pPr>
        <w:numPr>
          <w:ilvl w:val="0"/>
          <w:numId w:val="1001"/>
        </w:numPr>
        <w:pStyle w:val="Compact"/>
      </w:pPr>
      <w:r>
        <w:t xml:space="preserve">All environmental data and findings presented in our reports are based on the conditions observed at the time of assessment and are subject to the limitations and assumptions outlined in the respective technical documents.</w:t>
      </w:r>
    </w:p>
    <w:p>
      <w:pPr>
        <w:numPr>
          <w:ilvl w:val="0"/>
          <w:numId w:val="1001"/>
        </w:numPr>
        <w:pStyle w:val="Compact"/>
      </w:pPr>
      <w:r>
        <w:t xml:space="preserve">EcoTech Environmental Solutions Ltd. reserves the right to suspend services if payment is not received by the due date, without prejudice to any other rights or remedies available under Israeli law.</w:t>
      </w:r>
    </w:p>
    <w:p>
      <w:pPr>
        <w:pStyle w:val="FirstParagraph"/>
      </w:pPr>
      <w:r>
        <w:rPr>
          <w:bCs/>
          <w:b/>
        </w:rPr>
        <w:t xml:space="preserve">Thank you for your business.</w:t>
      </w:r>
      <w:r>
        <w:t xml:space="preserve"> </w:t>
      </w:r>
      <w:r>
        <w:t xml:space="preserve">We appreciate the opportunity to contribute to sustainable and environmentally responsible development in Tel Aviv-Yafo, Israel. Our team of Environmental Engineers is committed to delivering excellence in environmental protection, regulatory compliance, and sustainable engineering solutions.</w:t>
      </w:r>
    </w:p>
    <w:bookmarkEnd w:id="25"/>
    <w:p>
      <w:pPr>
        <w:pStyle w:val="BodyText"/>
      </w:pPr>
      <w:r>
        <w:t xml:space="preserve">EcoTech Environmental Solutions Ltd. | 12 HaYarkon Street, Tel Aviv-Yafo, Israel 6473101</w:t>
      </w:r>
    </w:p>
    <w:p>
      <w:pPr>
        <w:pStyle w:val="BodyText"/>
      </w:pPr>
      <w:r>
        <w:t xml:space="preserve">VAT ID: 512345678 | License No: 12345 | Phone: +972-3-555-1234 | Email: billing@ecotech-il.com</w:t>
      </w:r>
    </w:p>
    <w:p>
      <w:pPr>
        <w:pStyle w:val="BodyText"/>
      </w:pPr>
      <w:r>
        <w:t xml:space="preserve">This is a computer-generated Invoice and does not require a physical signature. For verification, please contact our billing department.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2026-10-10T02:34:05Z</dcterms:created>
  <dcterms:modified xsi:type="dcterms:W3CDTF">2026-10-10T02:34:05Z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