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Environmental</w:t>
      </w:r>
      <w:r>
        <w:t xml:space="preserve"> </w:t>
      </w:r>
      <w:r>
        <w:t xml:space="preserve">Engineering</w:t>
      </w:r>
      <w:r>
        <w:t xml:space="preserve"> </w:t>
      </w:r>
      <w:r>
        <w:t xml:space="preserve">Services</w:t>
      </w:r>
    </w:p>
    <w:bookmarkStart w:id="20" w:name="kyoto-ecosolutions-ltd."/>
    <w:p>
      <w:pPr>
        <w:pStyle w:val="Heading1"/>
      </w:pPr>
      <w:r>
        <w:t xml:space="preserve">Kyoto EcoSolutions Ltd.</w:t>
      </w:r>
    </w:p>
    <w:p>
      <w:pPr>
        <w:pStyle w:val="FirstParagraph"/>
      </w:pPr>
      <w:r>
        <w:t xml:space="preserve">Specialized Environmental Engineering &amp; Sustainability Consulting</w:t>
      </w:r>
    </w:p>
    <w:p>
      <w:pPr>
        <w:pStyle w:val="BodyText"/>
      </w:pPr>
      <w:r>
        <w:t xml:space="preserve">123 Higashiyama-ku, Sannenzaka 456</w:t>
      </w:r>
    </w:p>
    <w:p>
      <w:pPr>
        <w:pStyle w:val="BodyText"/>
      </w:pPr>
      <w:r>
        <w:t xml:space="preserve">Kyoto, Japan 605-0074</w:t>
      </w:r>
    </w:p>
    <w:p>
      <w:pPr>
        <w:pStyle w:val="BodyText"/>
      </w:pPr>
      <w:r>
        <w:t xml:space="preserve">Tel: +81-75-555-0199 | Email: billing@kyotoecosolutions.jp</w:t>
      </w:r>
    </w:p>
    <w:p>
      <w:pPr>
        <w:pStyle w:val="BodyText"/>
      </w:pPr>
      <w:r>
        <w:t xml:space="preserve">Corporate Number: 4010001000000</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INV-2023-KY-0892</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Project Reference:</w:t>
      </w:r>
      <w:r>
        <w:t xml:space="preserve"> </w:t>
      </w:r>
      <w:r>
        <w:t xml:space="preserve">Kamo River Remediation Phase II</w:t>
      </w:r>
    </w:p>
    <w:bookmarkEnd w:id="21"/>
    <w:bookmarkStart w:id="22" w:name="bill-to"/>
    <w:p>
      <w:pPr>
        <w:pStyle w:val="Heading3"/>
      </w:pPr>
      <w:r>
        <w:t xml:space="preserve">Bill To:</w:t>
      </w:r>
    </w:p>
    <w:p>
      <w:pPr>
        <w:pStyle w:val="FirstParagraph"/>
      </w:pPr>
      <w:r>
        <w:rPr>
          <w:bCs/>
          <w:b/>
        </w:rPr>
        <w:t xml:space="preserve">Kyoto Municipal Infrastructure Bureau</w:t>
      </w:r>
    </w:p>
    <w:p>
      <w:pPr>
        <w:pStyle w:val="BodyText"/>
      </w:pPr>
      <w:r>
        <w:t xml:space="preserve">Department of Environmental Conservation</w:t>
      </w:r>
    </w:p>
    <w:p>
      <w:pPr>
        <w:pStyle w:val="BodyText"/>
      </w:pPr>
      <w:r>
        <w:t xml:space="preserve">200 Shimogyo-ku, Kawaramachi-dori</w:t>
      </w:r>
    </w:p>
    <w:p>
      <w:pPr>
        <w:pStyle w:val="BodyText"/>
      </w:pPr>
      <w:r>
        <w:t xml:space="preserve">Kyoto, Japan 600-8216</w:t>
      </w:r>
    </w:p>
    <w:p>
      <w:pPr>
        <w:pStyle w:val="BodyText"/>
      </w:pPr>
      <w:r>
        <w:t xml:space="preserve">Attn: Director Tanaka Hiroshi</w:t>
      </w:r>
    </w:p>
    <w:bookmarkEnd w:id="22"/>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Environmental Engineering Services</w:t>
            </w:r>
          </w:p>
        </w:tc>
        <w:tc>
          <w:tcPr/>
          <w:p>
            <w:pPr>
              <w:pStyle w:val="Compact"/>
              <w:jc w:val="left"/>
            </w:pPr>
            <w:r>
              <w:t xml:space="preserve">Quantity / Hours</w:t>
            </w:r>
          </w:p>
        </w:tc>
        <w:tc>
          <w:tcPr/>
          <w:p>
            <w:pPr>
              <w:pStyle w:val="Compact"/>
              <w:jc w:val="left"/>
            </w:pPr>
            <w:r>
              <w:t xml:space="preserve">Unit Price (JPY)</w:t>
            </w:r>
          </w:p>
        </w:tc>
        <w:tc>
          <w:tcPr/>
          <w:p>
            <w:pPr>
              <w:pStyle w:val="Compact"/>
              <w:jc w:val="left"/>
            </w:pPr>
            <w:r>
              <w:t xml:space="preserve">Total (JPY)</w:t>
            </w:r>
          </w:p>
        </w:tc>
      </w:tr>
      <w:tr>
        <w:tc>
          <w:tcPr/>
          <w:p>
            <w:pPr>
              <w:pStyle w:val="Compact"/>
              <w:jc w:val="left"/>
            </w:pPr>
            <w:r>
              <w:t xml:space="preserve">1</w:t>
            </w:r>
          </w:p>
        </w:tc>
        <w:tc>
          <w:tcPr/>
          <w:p>
            <w:pPr>
              <w:pStyle w:val="Compact"/>
              <w:jc w:val="left"/>
            </w:pPr>
            <w:r>
              <w:rPr>
                <w:bCs/>
                <w:b/>
              </w:rPr>
              <w:t xml:space="preserve">Hydrological Impact Assessment</w:t>
            </w:r>
            <w:r>
              <w:br/>
            </w:r>
            <w:r>
              <w:t xml:space="preserve">Comprehensive analysis of water flow dynamics within the Kamo River basin. This service, provided by our senior Environmental Engineer, includes the deployment of advanced sonar mapping equipment to assess sediment accumulation and structural integrity of riverbanks. The assessment aligns with the strict water quality standards mandated by the Japanese Ministry of the Environment.</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2</w:t>
            </w:r>
          </w:p>
        </w:tc>
        <w:tc>
          <w:tcPr/>
          <w:p>
            <w:pPr>
              <w:pStyle w:val="Compact"/>
              <w:jc w:val="left"/>
            </w:pPr>
            <w:r>
              <w:rPr>
                <w:bCs/>
                <w:b/>
              </w:rPr>
              <w:t xml:space="preserve">Soil Contamination Remediation Plan</w:t>
            </w:r>
            <w:r>
              <w:br/>
            </w:r>
            <w:r>
              <w:t xml:space="preserve">Development of a strategic remediation protocol for industrial legacy sites in the Shimogyo-ku district. Our Environmental Engineer conducted extensive soil sampling and laboratory analysis to detect heavy metals and volatile organic compounds (VOCs). The resulting report outlines a bioremediation strategy tailored to the specific geological conditions of Kyoto, ensuring minimal disruption to local flora and fauna.</w:t>
            </w:r>
          </w:p>
        </w:tc>
        <w:tc>
          <w:tcPr/>
          <w:p>
            <w:pPr>
              <w:pStyle w:val="Compact"/>
              <w:jc w:val="left"/>
            </w:pPr>
            <w:r>
              <w:t xml:space="preserve">1</w:t>
            </w:r>
          </w:p>
        </w:tc>
        <w:tc>
          <w:tcPr/>
          <w:p>
            <w:pPr>
              <w:pStyle w:val="Compact"/>
              <w:jc w:val="left"/>
            </w:pPr>
            <w:r>
              <w:t xml:space="preserve">680,000</w:t>
            </w:r>
          </w:p>
        </w:tc>
        <w:tc>
          <w:tcPr/>
          <w:p>
            <w:pPr>
              <w:pStyle w:val="Compact"/>
              <w:jc w:val="left"/>
            </w:pPr>
            <w:r>
              <w:t xml:space="preserve">680,000</w:t>
            </w:r>
          </w:p>
        </w:tc>
      </w:tr>
      <w:tr>
        <w:tc>
          <w:tcPr/>
          <w:p>
            <w:pPr>
              <w:pStyle w:val="Compact"/>
              <w:jc w:val="left"/>
            </w:pPr>
            <w:r>
              <w:t xml:space="preserve">3</w:t>
            </w:r>
          </w:p>
        </w:tc>
        <w:tc>
          <w:tcPr/>
          <w:p>
            <w:pPr>
              <w:pStyle w:val="Compact"/>
              <w:jc w:val="left"/>
            </w:pPr>
            <w:r>
              <w:rPr>
                <w:bCs/>
                <w:b/>
              </w:rPr>
              <w:t xml:space="preserve">Air Quality Monitoring &amp; Analysis</w:t>
            </w:r>
            <w:r>
              <w:br/>
            </w:r>
            <w:r>
              <w:t xml:space="preserve">Installation and calibration of particulate matter (PM2.5) sensors across three key zones in central Kyoto. This service involves real-time data collection over a 30-day period to evaluate the impact of urban traffic on air quality. The Environmental Engineer provided a detailed statistical analysis and recommendations for green infrastructure implementation to mitigate pollution levels, supporting Kyoto's goal of becoming a carbon-neutral city by 2050.</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4</w:t>
            </w:r>
          </w:p>
        </w:tc>
        <w:tc>
          <w:tcPr/>
          <w:p>
            <w:pPr>
              <w:pStyle w:val="Compact"/>
              <w:jc w:val="left"/>
            </w:pPr>
            <w:r>
              <w:rPr>
                <w:bCs/>
                <w:b/>
              </w:rPr>
              <w:t xml:space="preserve">Waste Management Optimization Consulting</w:t>
            </w:r>
            <w:r>
              <w:br/>
            </w:r>
            <w:r>
              <w:t xml:space="preserve">Strategic consulting for the municipal waste processing facility. Our Environmental Engineer audited current waste segregation and processing workflows. We proposed a new circular economy framework to increase recycling rates and reduce landfill dependency. This includes technical specifications for upgrading incineration technology to meet Japan's latest emission regulations.</w:t>
            </w:r>
          </w:p>
        </w:tc>
        <w:tc>
          <w:tcPr/>
          <w:p>
            <w:pPr>
              <w:pStyle w:val="Compact"/>
              <w:jc w:val="left"/>
            </w:pPr>
            <w:r>
              <w:t xml:space="preserve">40</w:t>
            </w:r>
          </w:p>
        </w:tc>
        <w:tc>
          <w:tcPr/>
          <w:p>
            <w:pPr>
              <w:pStyle w:val="Compact"/>
              <w:jc w:val="left"/>
            </w:pPr>
            <w:r>
              <w:t xml:space="preserve">15,000</w:t>
            </w:r>
          </w:p>
        </w:tc>
        <w:tc>
          <w:tcPr/>
          <w:p>
            <w:pPr>
              <w:pStyle w:val="Compact"/>
              <w:jc w:val="left"/>
            </w:pPr>
            <w:r>
              <w:t xml:space="preserve">600,000</w:t>
            </w:r>
          </w:p>
        </w:tc>
      </w:tr>
      <w:tr>
        <w:tc>
          <w:tcPr/>
          <w:p>
            <w:pPr>
              <w:pStyle w:val="Compact"/>
              <w:jc w:val="left"/>
            </w:pPr>
            <w:r>
              <w:t xml:space="preserve">5</w:t>
            </w:r>
          </w:p>
        </w:tc>
        <w:tc>
          <w:tcPr/>
          <w:p>
            <w:pPr>
              <w:pStyle w:val="Compact"/>
              <w:jc w:val="left"/>
            </w:pPr>
            <w:r>
              <w:rPr>
                <w:bCs/>
                <w:b/>
              </w:rPr>
              <w:t xml:space="preserve">Environmental Impact Statement (EIS) Drafting</w:t>
            </w:r>
            <w:r>
              <w:br/>
            </w:r>
            <w:r>
              <w:t xml:space="preserve">Preparation of the formal Environmental Impact Statement required for the approval of the new pedestrian bridge project. This document details the potential ecological consequences of construction and outlines mitigation measures. The Environmental Engineer ensured full compliance with the Environmental Impact Assessment Law of Japan, providing a robust legal and scientific foundation for the project's approval.</w:t>
            </w:r>
          </w:p>
        </w:tc>
        <w:tc>
          <w:tcPr/>
          <w:p>
            <w:pPr>
              <w:pStyle w:val="Compact"/>
              <w:jc w:val="left"/>
            </w:pPr>
            <w:r>
              <w:t xml:space="preserve">1</w:t>
            </w:r>
          </w:p>
        </w:tc>
        <w:tc>
          <w:tcPr/>
          <w:p>
            <w:pPr>
              <w:pStyle w:val="Compact"/>
              <w:jc w:val="left"/>
            </w:pPr>
            <w:r>
              <w:t xml:space="preserve">550,000</w:t>
            </w:r>
          </w:p>
        </w:tc>
        <w:tc>
          <w:tcPr/>
          <w:p>
            <w:pPr>
              <w:pStyle w:val="Compact"/>
              <w:jc w:val="left"/>
            </w:pPr>
            <w:r>
              <w:t xml:space="preserve">550,000</w:t>
            </w:r>
          </w:p>
        </w:tc>
      </w:tr>
    </w:tbl>
    <w:p>
      <w:pPr>
        <w:pStyle w:val="BodyText"/>
      </w:pPr>
      <w:r>
        <w:t xml:space="preserve">Subtotal:</w:t>
      </w:r>
      <w:r>
        <w:t xml:space="preserve"> </w:t>
      </w:r>
      <w:r>
        <w:t xml:space="preserve">2,600,000 JPY</w:t>
      </w:r>
    </w:p>
    <w:p>
      <w:pPr>
        <w:pStyle w:val="BodyText"/>
      </w:pPr>
      <w:r>
        <w:t xml:space="preserve">Consumption Tax (10%):</w:t>
      </w:r>
      <w:r>
        <w:t xml:space="preserve"> </w:t>
      </w:r>
      <w:r>
        <w:t xml:space="preserve">260,000 JPY</w:t>
      </w:r>
    </w:p>
    <w:p>
      <w:pPr>
        <w:pStyle w:val="BodyText"/>
      </w:pPr>
      <w:r>
        <w:t xml:space="preserve">TOTAL DUE:</w:t>
      </w:r>
      <w:r>
        <w:t xml:space="preserve"> </w:t>
      </w:r>
      <w:r>
        <w:t xml:space="preserve">2,860,000 JPY</w:t>
      </w:r>
    </w:p>
    <w:bookmarkStart w:id="23" w:name="terms-and-conditions"/>
    <w:p>
      <w:pPr>
        <w:pStyle w:val="Heading4"/>
      </w:pPr>
      <w:r>
        <w:t xml:space="preserve">Terms and Conditions:</w:t>
      </w:r>
    </w:p>
    <w:p>
      <w:pPr>
        <w:pStyle w:val="FirstParagraph"/>
      </w:pPr>
      <w:r>
        <w:t xml:space="preserve">1. Payment is due within 30 days of the invoice date. Late payments may incur a penalty interest rate of 1.5% per month.</w:t>
      </w:r>
    </w:p>
    <w:p>
      <w:pPr>
        <w:pStyle w:val="BodyText"/>
      </w:pPr>
      <w:r>
        <w:t xml:space="preserve">2. Please make payments via bank transfer to the following account:</w:t>
      </w:r>
    </w:p>
    <w:p>
      <w:pPr>
        <w:pStyle w:val="BodyText"/>
      </w:pPr>
      <w:r>
        <w:rPr>
          <w:bCs/>
          <w:b/>
        </w:rPr>
        <w:t xml:space="preserve">Bank Name:</w:t>
      </w:r>
      <w:r>
        <w:t xml:space="preserve"> </w:t>
      </w:r>
      <w:r>
        <w:t xml:space="preserve">Mizuho Bank, Kyoto Main Branch</w:t>
      </w:r>
      <w:r>
        <w:br/>
      </w:r>
      <w:r>
        <w:rPr>
          <w:bCs/>
          <w:b/>
        </w:rPr>
        <w:t xml:space="preserve">Account Type:</w:t>
      </w:r>
      <w:r>
        <w:t xml:space="preserve"> </w:t>
      </w:r>
      <w:r>
        <w:t xml:space="preserve">Ordinary Account</w:t>
      </w:r>
      <w:r>
        <w:br/>
      </w:r>
      <w:r>
        <w:rPr>
          <w:bCs/>
          <w:b/>
        </w:rPr>
        <w:t xml:space="preserve">Account Number:</w:t>
      </w:r>
      <w:r>
        <w:t xml:space="preserve"> </w:t>
      </w:r>
      <w:r>
        <w:t xml:space="preserve">1234567</w:t>
      </w:r>
      <w:r>
        <w:br/>
      </w:r>
      <w:r>
        <w:rPr>
          <w:bCs/>
          <w:b/>
        </w:rPr>
        <w:t xml:space="preserve">Account Name:</w:t>
      </w:r>
      <w:r>
        <w:t xml:space="preserve"> </w:t>
      </w:r>
      <w:r>
        <w:t xml:space="preserve">Kyoto EcoSolutions Ltd.</w:t>
      </w:r>
    </w:p>
    <w:p>
      <w:pPr>
        <w:pStyle w:val="BodyText"/>
      </w:pPr>
      <w:r>
        <w:t xml:space="preserve">3. All services rendered by our Environmental Engineer are guaranteed to meet the professional standards set by the Japan Society of Civil Engineers and the Ministry of the Environment.</w:t>
      </w:r>
    </w:p>
    <w:p>
      <w:pPr>
        <w:pStyle w:val="BodyText"/>
      </w:pPr>
      <w:r>
        <w:t xml:space="preserve">4. This Invoice serves as the official record of transaction for tax purposes in Japan. Please retain this document for your accounting records.</w:t>
      </w:r>
    </w:p>
    <w:p>
      <w:pPr>
        <w:pStyle w:val="BodyText"/>
      </w:pPr>
      <w:r>
        <w:t xml:space="preserve">5. Any disputes regarding the scope of work or quality of services must be raised within 14 days of receipt of this Invoice.</w:t>
      </w:r>
    </w:p>
    <w:bookmarkEnd w:id="23"/>
    <w:p>
      <w:pPr>
        <w:pStyle w:val="BodyText"/>
      </w:pPr>
      <w:r>
        <w:t xml:space="preserve">Thank you for choosing Kyoto EcoSolutions Ltd. for your Environmental Engineering needs.</w:t>
      </w:r>
    </w:p>
    <w:p>
      <w:pPr>
        <w:pStyle w:val="BodyText"/>
      </w:pPr>
      <w:r>
        <w:t xml:space="preserve">Committed to preserving the natural beauty and ecological balance of Japan Kyoto.</w:t>
      </w:r>
    </w:p>
    <w:p>
      <w:pPr>
        <w:pStyle w:val="BodyText"/>
      </w:pPr>
      <w:r>
        <w:t xml:space="preserve">© 2023 Kyoto EcoSolutions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Environmental Engineering Services</dc:title>
  <dc:creator/>
  <dc:language>en</dc:language>
  <cp:keywords/>
  <dcterms:created xsi:type="dcterms:W3CDTF">2026-10-10T02:20:07Z</dcterms:created>
  <dcterms:modified xsi:type="dcterms:W3CDTF">2026-10-10T02:20:07Z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