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r>
        <w:t xml:space="preserve"> </w:t>
      </w:r>
      <w:r>
        <w:t xml:space="preserve">-</w:t>
      </w:r>
      <w:r>
        <w:t xml:space="preserve"> </w:t>
      </w:r>
      <w:r>
        <w:t xml:space="preserve">Yangon,</w:t>
      </w:r>
      <w:r>
        <w:t xml:space="preserve"> </w:t>
      </w:r>
      <w:r>
        <w:t xml:space="preserve">Myanmar</w:t>
      </w:r>
    </w:p>
    <w:bookmarkStart w:id="20" w:name="green-horizon-environmental-solutions"/>
    <w:p>
      <w:pPr>
        <w:pStyle w:val="Heading1"/>
      </w:pPr>
      <w:r>
        <w:t xml:space="preserve">Green Horizon Environmental Solutions</w:t>
      </w:r>
    </w:p>
    <w:p>
      <w:pPr>
        <w:pStyle w:val="FirstParagraph"/>
      </w:pPr>
      <w:r>
        <w:rPr>
          <w:bCs/>
          <w:b/>
        </w:rPr>
        <w:t xml:space="preserve">Specialized Environmental Engineering Firm</w:t>
      </w:r>
    </w:p>
    <w:p>
      <w:pPr>
        <w:pStyle w:val="BodyText"/>
      </w:pPr>
      <w:r>
        <w:t xml:space="preserve">123 Bogyoke Aung San Road, Kamaryut Township</w:t>
      </w:r>
    </w:p>
    <w:p>
      <w:pPr>
        <w:pStyle w:val="BodyText"/>
      </w:pPr>
      <w:r>
        <w:t xml:space="preserve">Yangon, Myanmar</w:t>
      </w:r>
    </w:p>
    <w:p>
      <w:pPr>
        <w:pStyle w:val="BodyText"/>
      </w:pPr>
      <w:r>
        <w:t xml:space="preserve">Tax Registration No: 01-23456789</w:t>
      </w:r>
    </w:p>
    <w:p>
      <w:pPr>
        <w:pStyle w:val="BodyText"/>
      </w:pPr>
      <w:r>
        <w:t xml:space="preserve">Email: billing@greenhorizon-mm.com | Phone: +95 1 234 5678</w:t>
      </w:r>
    </w:p>
    <w:bookmarkEnd w:id="20"/>
    <w:bookmarkStart w:id="21" w:name="invoice"/>
    <w:p>
      <w:pPr>
        <w:pStyle w:val="Heading2"/>
      </w:pPr>
      <w:r>
        <w:t xml:space="preserve">INVOICE</w:t>
      </w:r>
    </w:p>
    <w:p>
      <w:pPr>
        <w:pStyle w:val="FirstParagraph"/>
      </w:pPr>
      <w:r>
        <w:t xml:space="preserve">Official Tax Invoice</w:t>
      </w:r>
    </w:p>
    <w:bookmarkEnd w:id="21"/>
    <w:bookmarkStart w:id="22" w:name="bill-to"/>
    <w:p>
      <w:pPr>
        <w:pStyle w:val="Heading3"/>
      </w:pPr>
      <w:r>
        <w:t xml:space="preserve">Bill To:</w:t>
      </w:r>
    </w:p>
    <w:p>
      <w:pPr>
        <w:pStyle w:val="FirstParagraph"/>
      </w:pPr>
      <w:r>
        <w:rPr>
          <w:bCs/>
          <w:b/>
        </w:rPr>
        <w:t xml:space="preserve">Yangon Industrial Development Corp.</w:t>
      </w:r>
    </w:p>
    <w:p>
      <w:pPr>
        <w:pStyle w:val="BodyText"/>
      </w:pPr>
      <w:r>
        <w:t xml:space="preserve">Attn: Procurement Department</w:t>
      </w:r>
    </w:p>
    <w:p>
      <w:pPr>
        <w:pStyle w:val="BodyText"/>
      </w:pPr>
      <w:r>
        <w:t xml:space="preserve">45 Industrial Zone Road, Hlaing Tharyar Township</w:t>
      </w:r>
    </w:p>
    <w:p>
      <w:pPr>
        <w:pStyle w:val="BodyText"/>
      </w:pPr>
      <w:r>
        <w:t xml:space="preserve">Yangon, Myanmar</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INV-2023-ENV-089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EIA-YGN-2023-04</w:t>
      </w:r>
    </w:p>
    <w:bookmarkEnd w:id="23"/>
    <w:bookmarkStart w:id="24" w:name="project-scope-overview"/>
    <w:p>
      <w:pPr>
        <w:pStyle w:val="Heading4"/>
      </w:pPr>
      <w:r>
        <w:t xml:space="preserve">Project Scope Overview</w:t>
      </w:r>
    </w:p>
    <w:p>
      <w:pPr>
        <w:pStyle w:val="FirstParagraph"/>
      </w:pPr>
      <w:r>
        <w:t xml:space="preserve">This invoice pertains to the comprehensive environmental engineering consultancy services rendered by Green Horizon Environmental Solutions for the proposed industrial expansion project located in Yangon, Myanmar. As a certified Environmental Engineer firm operating under the regulations of the Environmental Conservation Department (ECD) of Myanmar, we have conducted rigorous assessments to ensure compliance with the Environmental Policy of Myanmar and the Environmental Conservation Law (2012).</w:t>
      </w:r>
    </w:p>
    <w:p>
      <w:pPr>
        <w:pStyle w:val="BodyText"/>
      </w:pPr>
      <w:r>
        <w:t xml:space="preserve">The services detailed below include the preparation of the Environmental Impact Assessment (EIA), baseline data collection regarding air quality and water resources in the Yangon region, and the formulation of an Environmental Management Plan (EMP). Our team of Environmental Engineers has worked diligently to mitigate potential ecological risks associated with the construction phase, ensuring sustainable development practices are upheld within the Yangon metropolitan area.</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Quantity / Hours</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1</w:t>
            </w:r>
          </w:p>
        </w:tc>
        <w:tc>
          <w:tcPr/>
          <w:p>
            <w:pPr>
              <w:pStyle w:val="Compact"/>
              <w:jc w:val="left"/>
            </w:pPr>
            <w:r>
              <w:rPr>
                <w:bCs/>
                <w:b/>
              </w:rPr>
              <w:t xml:space="preserve">Phase I: Environmental Site Assessment &amp; Baseline Study</w:t>
            </w:r>
            <w:r>
              <w:br/>
            </w:r>
            <w:r>
              <w:t xml:space="preserve">Comprehensive field survey conducted by senior Environmental Engineers in Yangon. Includes soil sampling, groundwater analysis, and ambient noise level monitoring to establish baseline environmental conditions prior to construction.</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Phase II: Environmental Impact Assessment (EIA) Report Preparation</w:t>
            </w:r>
            <w:r>
              <w:br/>
            </w:r>
            <w:r>
              <w:t xml:space="preserve">Drafting of the full EIA report in accordance with Myanmar ECD guidelines. Analysis of potential impacts on local biodiversity, air quality, and community health in the Yangon region. Includes stakeholder consultation summaries.</w:t>
            </w:r>
          </w:p>
        </w:tc>
        <w:tc>
          <w:tcPr/>
          <w:p>
            <w:pPr>
              <w:pStyle w:val="Compact"/>
              <w:jc w:val="left"/>
            </w:pPr>
            <w:r>
              <w:t xml:space="preserve">1 Report</w:t>
            </w:r>
          </w:p>
        </w:tc>
        <w:tc>
          <w:tcPr/>
          <w:p>
            <w:pPr>
              <w:pStyle w:val="Compact"/>
              <w:jc w:val="left"/>
            </w:pPr>
            <w:r>
              <w:t xml:space="preserve">8,200,000</w:t>
            </w:r>
          </w:p>
        </w:tc>
        <w:tc>
          <w:tcPr/>
          <w:p>
            <w:pPr>
              <w:pStyle w:val="Compact"/>
              <w:jc w:val="left"/>
            </w:pPr>
            <w:r>
              <w:t xml:space="preserve">8,200,000</w:t>
            </w:r>
          </w:p>
        </w:tc>
      </w:tr>
      <w:tr>
        <w:tc>
          <w:tcPr/>
          <w:p>
            <w:pPr>
              <w:pStyle w:val="Compact"/>
              <w:jc w:val="left"/>
            </w:pPr>
            <w:r>
              <w:t xml:space="preserve">3</w:t>
            </w:r>
          </w:p>
        </w:tc>
        <w:tc>
          <w:tcPr/>
          <w:p>
            <w:pPr>
              <w:pStyle w:val="Compact"/>
              <w:jc w:val="left"/>
            </w:pPr>
            <w:r>
              <w:rPr>
                <w:bCs/>
                <w:b/>
              </w:rPr>
              <w:t xml:space="preserve">Phase III: Environmental Management Plan (EMP) Development</w:t>
            </w:r>
            <w:r>
              <w:br/>
            </w:r>
            <w:r>
              <w:t xml:space="preserve">Creation of a strategic EMP to mitigate identified risks. Includes protocols for waste management, stormwater drainage design, and dust control measures specific to the Yangon climate and urban density.</w:t>
            </w:r>
          </w:p>
        </w:tc>
        <w:tc>
          <w:tcPr/>
          <w:p>
            <w:pPr>
              <w:pStyle w:val="Compact"/>
              <w:jc w:val="left"/>
            </w:pPr>
            <w:r>
              <w:t xml:space="preserve">1 Plan</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4</w:t>
            </w:r>
          </w:p>
        </w:tc>
        <w:tc>
          <w:tcPr/>
          <w:p>
            <w:pPr>
              <w:pStyle w:val="Compact"/>
              <w:jc w:val="left"/>
            </w:pPr>
            <w:r>
              <w:rPr>
                <w:bCs/>
                <w:b/>
              </w:rPr>
              <w:t xml:space="preserve">Phase IV: Regulatory Submission &amp; Liaison Services</w:t>
            </w:r>
            <w:r>
              <w:br/>
            </w:r>
            <w:r>
              <w:t xml:space="preserve">Assistance with the submission of documents to the Yangon City Development Committee (YCDC) and the Environmental Conservation Department. Includes representation during technical review meetings.</w:t>
            </w:r>
          </w:p>
        </w:tc>
        <w:tc>
          <w:tcPr/>
          <w:p>
            <w:pPr>
              <w:pStyle w:val="Compact"/>
              <w:jc w:val="left"/>
            </w:pPr>
            <w:r>
              <w:t xml:space="preserve">40 Hours</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5</w:t>
            </w:r>
          </w:p>
        </w:tc>
        <w:tc>
          <w:tcPr/>
          <w:p>
            <w:pPr>
              <w:pStyle w:val="Compact"/>
              <w:jc w:val="left"/>
            </w:pPr>
            <w:r>
              <w:rPr>
                <w:bCs/>
                <w:b/>
              </w:rPr>
              <w:t xml:space="preserve">Phase V: Laboratory Analysis Fees</w:t>
            </w:r>
            <w:r>
              <w:br/>
            </w:r>
            <w:r>
              <w:t xml:space="preserve">Third-party accredited laboratory costs for chemical analysis of soil and water samples collected in Yangon. Includes heavy metal testing and biological oxygen demand (BOD) analysis.</w:t>
            </w:r>
          </w:p>
        </w:tc>
        <w:tc>
          <w:tcPr/>
          <w:p>
            <w:pPr>
              <w:pStyle w:val="Compact"/>
              <w:jc w:val="left"/>
            </w:pPr>
            <w:r>
              <w:t xml:space="preserve">15 Samples</w:t>
            </w:r>
          </w:p>
        </w:tc>
        <w:tc>
          <w:tcPr/>
          <w:p>
            <w:pPr>
              <w:pStyle w:val="Compact"/>
              <w:jc w:val="left"/>
            </w:pPr>
            <w:r>
              <w:t xml:space="preserve">120,000</w:t>
            </w:r>
          </w:p>
        </w:tc>
        <w:tc>
          <w:tcPr/>
          <w:p>
            <w:pPr>
              <w:pStyle w:val="Compact"/>
              <w:jc w:val="left"/>
            </w:pPr>
            <w:r>
              <w:t xml:space="preserve">1,800,000</w:t>
            </w:r>
          </w:p>
        </w:tc>
      </w:tr>
    </w:tbl>
    <w:p>
      <w:pPr>
        <w:pStyle w:val="BodyText"/>
      </w:pPr>
      <w:r>
        <w:t xml:space="preserve">Subtotal:</w:t>
      </w:r>
      <w:r>
        <w:t xml:space="preserve"> </w:t>
      </w:r>
      <w:r>
        <w:t xml:space="preserve">26,000,000 MMK</w:t>
      </w:r>
    </w:p>
    <w:p>
      <w:pPr>
        <w:pStyle w:val="BodyText"/>
      </w:pPr>
      <w:r>
        <w:t xml:space="preserve">VAT (5%):</w:t>
      </w:r>
      <w:r>
        <w:t xml:space="preserve"> </w:t>
      </w:r>
      <w:r>
        <w:t xml:space="preserve">1,300,000 MMK</w:t>
      </w:r>
    </w:p>
    <w:p>
      <w:pPr>
        <w:pStyle w:val="BodyText"/>
      </w:pPr>
      <w:r>
        <w:t xml:space="preserve">Stamp Duty:</w:t>
      </w:r>
      <w:r>
        <w:t xml:space="preserve"> </w:t>
      </w:r>
      <w:r>
        <w:t xml:space="preserve">50,000 MMK</w:t>
      </w:r>
    </w:p>
    <w:p>
      <w:pPr>
        <w:pStyle w:val="BodyText"/>
      </w:pPr>
      <w:r>
        <w:t xml:space="preserve">TOTAL AMOUNT DUE:</w:t>
      </w:r>
      <w:r>
        <w:t xml:space="preserve"> </w:t>
      </w:r>
      <w:r>
        <w:t xml:space="preserve">27,350,000 MMK</w:t>
      </w:r>
    </w:p>
    <w:p>
      <w:pPr>
        <w:pStyle w:val="BodyText"/>
      </w:pPr>
      <w:r>
        <w:rPr>
          <w:iCs/>
          <w:i/>
        </w:rPr>
        <w:t xml:space="preserve">Amount in words: Twenty-Seven Million Three Hundred Fifty Thousand Myanmar Kyats only.</w:t>
      </w:r>
    </w:p>
    <w:bookmarkStart w:id="25" w:name="payment-terms-and-conditions"/>
    <w:p>
      <w:pPr>
        <w:pStyle w:val="Heading4"/>
      </w:pPr>
      <w:r>
        <w:t xml:space="preserve">Payment Terms and Conditions</w:t>
      </w:r>
    </w:p>
    <w:p>
      <w:pPr>
        <w:numPr>
          <w:ilvl w:val="0"/>
          <w:numId w:val="1001"/>
        </w:numPr>
        <w:pStyle w:val="Compact"/>
      </w:pPr>
      <w:r>
        <w:rPr>
          <w:bCs/>
          <w:b/>
        </w:rPr>
        <w:t xml:space="preserve">Payment Method:</w:t>
      </w:r>
      <w:r>
        <w:t xml:space="preserve"> </w:t>
      </w:r>
      <w:r>
        <w:t xml:space="preserve">Bank Transfer to KBZ Bank (Kyaing Bank) or AYA Bank.</w:t>
      </w:r>
    </w:p>
    <w:p>
      <w:pPr>
        <w:numPr>
          <w:ilvl w:val="0"/>
          <w:numId w:val="1001"/>
        </w:numPr>
        <w:pStyle w:val="Compact"/>
      </w:pPr>
      <w:r>
        <w:rPr>
          <w:bCs/>
          <w:b/>
        </w:rPr>
        <w:t xml:space="preserve">Bank Name:</w:t>
      </w:r>
      <w:r>
        <w:t xml:space="preserve"> </w:t>
      </w:r>
      <w:r>
        <w:t xml:space="preserve">KBZ Bank</w:t>
      </w:r>
    </w:p>
    <w:p>
      <w:pPr>
        <w:numPr>
          <w:ilvl w:val="0"/>
          <w:numId w:val="1001"/>
        </w:numPr>
        <w:pStyle w:val="Compact"/>
      </w:pPr>
      <w:r>
        <w:rPr>
          <w:bCs/>
          <w:b/>
        </w:rPr>
        <w:t xml:space="preserve">Account Name:</w:t>
      </w:r>
      <w:r>
        <w:t xml:space="preserve"> </w:t>
      </w:r>
      <w:r>
        <w:t xml:space="preserve">Green Horizon Environmental Solutions Co., Ltd.</w:t>
      </w:r>
    </w:p>
    <w:p>
      <w:pPr>
        <w:numPr>
          <w:ilvl w:val="0"/>
          <w:numId w:val="1001"/>
        </w:numPr>
        <w:pStyle w:val="Compact"/>
      </w:pPr>
      <w:r>
        <w:rPr>
          <w:bCs/>
          <w:b/>
        </w:rPr>
        <w:t xml:space="preserve">Account Number:</w:t>
      </w:r>
      <w:r>
        <w:t xml:space="preserve"> </w:t>
      </w:r>
      <w:r>
        <w:t xml:space="preserve">0123-4567-8901-2345</w:t>
      </w:r>
    </w:p>
    <w:p>
      <w:pPr>
        <w:numPr>
          <w:ilvl w:val="0"/>
          <w:numId w:val="1001"/>
        </w:numPr>
        <w:pStyle w:val="Compact"/>
      </w:pPr>
      <w:r>
        <w:rPr>
          <w:bCs/>
          <w:b/>
        </w:rPr>
        <w:t xml:space="preserve">Branch:</w:t>
      </w:r>
      <w:r>
        <w:t xml:space="preserve"> </w:t>
      </w:r>
      <w:r>
        <w:t xml:space="preserve">Yangon Central Branch</w:t>
      </w:r>
    </w:p>
    <w:p>
      <w:pPr>
        <w:numPr>
          <w:ilvl w:val="0"/>
          <w:numId w:val="1001"/>
        </w:numPr>
        <w:pStyle w:val="Compact"/>
      </w:pPr>
      <w:r>
        <w:rPr>
          <w:bCs/>
          <w:b/>
        </w:rPr>
        <w:t xml:space="preserve">Due Date:</w:t>
      </w:r>
      <w:r>
        <w:t xml:space="preserve"> </w:t>
      </w:r>
      <w:r>
        <w:t xml:space="preserve">Payment is due within 30 days from the date of this Invoice.</w:t>
      </w:r>
    </w:p>
    <w:p>
      <w:pPr>
        <w:numPr>
          <w:ilvl w:val="0"/>
          <w:numId w:val="1001"/>
        </w:numPr>
        <w:pStyle w:val="Compact"/>
      </w:pPr>
      <w:r>
        <w:rPr>
          <w:bCs/>
          <w:b/>
        </w:rPr>
        <w:t xml:space="preserve">Late Fees:</w:t>
      </w:r>
      <w:r>
        <w:t xml:space="preserve"> </w:t>
      </w:r>
      <w:r>
        <w:t xml:space="preserve">A late fee of 2% per month will be applied to overdue balances.</w:t>
      </w:r>
    </w:p>
    <w:p>
      <w:pPr>
        <w:numPr>
          <w:ilvl w:val="0"/>
          <w:numId w:val="1001"/>
        </w:numPr>
        <w:pStyle w:val="Compact"/>
      </w:pPr>
      <w:r>
        <w:rPr>
          <w:bCs/>
          <w:b/>
        </w:rPr>
        <w:t xml:space="preserve">Disputes:</w:t>
      </w:r>
      <w:r>
        <w:t xml:space="preserve"> </w:t>
      </w:r>
      <w:r>
        <w:t xml:space="preserve">Any discrepancies regarding this Invoice must be reported in writing within 7 days of receipt.</w:t>
      </w:r>
    </w:p>
    <w:p>
      <w:pPr>
        <w:pStyle w:val="FirstParagraph"/>
      </w:pPr>
      <w:r>
        <w:rPr>
          <w:bCs/>
          <w:b/>
        </w:rPr>
        <w:t xml:space="preserve">Legal Notice:</w:t>
      </w:r>
      <w:r>
        <w:t xml:space="preserve"> </w:t>
      </w:r>
      <w:r>
        <w:t xml:space="preserve">This Invoice serves as an official record of the Environmental Engineering services provided. All work has been conducted in strict adherence to the professional standards expected of an Environmental Engineer in Myanmar. The client acknowledges receipt of the EIA and EMP documents referenced herein.</w:t>
      </w:r>
    </w:p>
    <w:bookmarkEnd w:id="25"/>
    <w:p>
      <w:pPr>
        <w:pStyle w:val="BodyText"/>
      </w:pPr>
      <w:r>
        <w:t xml:space="preserve">Authorized Signature</w:t>
      </w:r>
    </w:p>
    <w:p>
      <w:pPr>
        <w:pStyle w:val="BodyText"/>
      </w:pPr>
      <w:r>
        <w:t xml:space="preserve">Dr. Aung Kyaw Min</w:t>
      </w:r>
      <w:r>
        <w:br/>
      </w:r>
      <w:r>
        <w:t xml:space="preserve">Lead Environmental Engineer</w:t>
      </w:r>
      <w:r>
        <w:br/>
      </w:r>
      <w:r>
        <w:t xml:space="preserve">Green Horizon Environmental Solutions</w:t>
      </w:r>
    </w:p>
    <w:p>
      <w:pPr>
        <w:pStyle w:val="BodyText"/>
      </w:pPr>
      <w:r>
        <w:t xml:space="preserve">Thank you for choosing Green Horizon Environmental Solutions for your sustainability needs in Yangon, Myanmar.</w:t>
      </w:r>
    </w:p>
    <w:p>
      <w:pPr>
        <w:pStyle w:val="BodyText"/>
      </w:pPr>
      <w:r>
        <w:t xml:space="preserve">Registered Office: 123 Bogyoke Aung San Road, Yangon, Myanmar | Email: info@greenhorizon-mm.com</w:t>
      </w:r>
    </w:p>
    <w:p>
      <w:pPr>
        <w:pStyle w:val="BodyText"/>
      </w:pPr>
      <w:r>
        <w:t xml:space="preserve">© 2023 Green Horizon Environmental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 - Yangon, Myanmar</dc:title>
  <dc:creator/>
  <dc:language>en</dc:language>
  <cp:keywords/>
  <dcterms:created xsi:type="dcterms:W3CDTF">2026-10-10T03:57:51Z</dcterms:created>
  <dcterms:modified xsi:type="dcterms:W3CDTF">2026-10-10T03:57:51Z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