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scape-environmental-solutions-ltd"/>
    <w:p>
      <w:pPr>
        <w:pStyle w:val="Heading1"/>
      </w:pPr>
      <w:r>
        <w:t xml:space="preserve">GreenScape Environmental Solutions Ltd</w:t>
      </w:r>
    </w:p>
    <w:p>
      <w:pPr>
        <w:pStyle w:val="FirstParagraph"/>
      </w:pPr>
      <w:r>
        <w:t xml:space="preserve">Level 4, 123 Queen Street</w:t>
      </w:r>
    </w:p>
    <w:p>
      <w:pPr>
        <w:pStyle w:val="BodyText"/>
      </w:pPr>
      <w:r>
        <w:t xml:space="preserve">Auckland CBD, Auckland 1010</w:t>
      </w:r>
    </w:p>
    <w:p>
      <w:pPr>
        <w:pStyle w:val="BodyText"/>
      </w:pPr>
      <w:r>
        <w:t xml:space="preserve">New Zealand</w:t>
      </w:r>
    </w:p>
    <w:p>
      <w:pPr>
        <w:pStyle w:val="BodyText"/>
      </w:pPr>
      <w:r>
        <w:t xml:space="preserve">Phone: +64 9 555 0199 | Email: accounts@greenscape.co.nz</w:t>
      </w:r>
    </w:p>
    <w:p>
      <w:pPr>
        <w:pStyle w:val="BodyText"/>
      </w:pPr>
      <w:r>
        <w:t xml:space="preserve">BNZ: 02-0103-01234567-00 | GST: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w:t>
      </w:r>
      <w:r>
        <w:t xml:space="preserve"> </w:t>
      </w:r>
      <w:r>
        <w:t xml:space="preserve">AKL-REM-2023-04</w:t>
      </w:r>
    </w:p>
    <w:bookmarkEnd w:id="21"/>
    <w:bookmarkStart w:id="22" w:name="bill-to"/>
    <w:p>
      <w:pPr>
        <w:pStyle w:val="Heading3"/>
      </w:pPr>
      <w:r>
        <w:t xml:space="preserve">Bill To</w:t>
      </w:r>
    </w:p>
    <w:p>
      <w:pPr>
        <w:pStyle w:val="FirstParagraph"/>
      </w:pPr>
      <w:r>
        <w:rPr>
          <w:bCs/>
          <w:b/>
        </w:rPr>
        <w:t xml:space="preserve">Harbour View Developments Ltd</w:t>
      </w:r>
    </w:p>
    <w:p>
      <w:pPr>
        <w:pStyle w:val="BodyText"/>
      </w:pPr>
      <w:r>
        <w:t xml:space="preserve">Attn: Mr. James Wilson, Project Director</w:t>
      </w:r>
    </w:p>
    <w:p>
      <w:pPr>
        <w:pStyle w:val="BodyText"/>
      </w:pPr>
      <w:r>
        <w:t xml:space="preserve">55 Customs Street West</w:t>
      </w:r>
    </w:p>
    <w:p>
      <w:pPr>
        <w:pStyle w:val="BodyText"/>
      </w:pPr>
      <w:r>
        <w:t xml:space="preserve">Auckland Central, Auckland 1010</w:t>
      </w:r>
    </w:p>
    <w:p>
      <w:pPr>
        <w:pStyle w:val="BodyText"/>
      </w:pPr>
      <w:r>
        <w:t xml:space="preserve">New Zealand</w:t>
      </w:r>
    </w:p>
    <w:bookmarkEnd w:id="22"/>
    <w:bookmarkStart w:id="23" w:name="project-site"/>
    <w:p>
      <w:pPr>
        <w:pStyle w:val="Heading3"/>
      </w:pPr>
      <w:r>
        <w:t xml:space="preserve">Project Site</w:t>
      </w:r>
    </w:p>
    <w:p>
      <w:pPr>
        <w:pStyle w:val="FirstParagraph"/>
      </w:pPr>
      <w:r>
        <w:rPr>
          <w:bCs/>
          <w:b/>
        </w:rPr>
        <w:t xml:space="preserve">Site Location:</w:t>
      </w:r>
    </w:p>
    <w:p>
      <w:pPr>
        <w:pStyle w:val="BodyText"/>
      </w:pPr>
      <w:r>
        <w:t xml:space="preserve">Lot 12, Block 4, Section 2</w:t>
      </w:r>
    </w:p>
    <w:p>
      <w:pPr>
        <w:pStyle w:val="BodyText"/>
      </w:pPr>
      <w:r>
        <w:t xml:space="preserve">Waitematā Harbour Precinct</w:t>
      </w:r>
    </w:p>
    <w:p>
      <w:pPr>
        <w:pStyle w:val="BodyText"/>
      </w:pPr>
      <w:r>
        <w:t xml:space="preserve">Auckland, New Zealand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Phase 1 Preliminary Site Investigation (PSI)</w:t>
            </w:r>
            <w:r>
              <w:br/>
            </w:r>
            <w:r>
              <w:t xml:space="preserve">Conducted comprehensive desktop study and site reconnaissance in accordance with NZS 8510:2005. Included review of historical land use maps for the Auckland region, identification of potential contamination sources, and initial risk assessment for the proposed residential development.</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rPr>
                <w:bCs/>
                <w:b/>
              </w:rPr>
              <w:t xml:space="preserve">Phase 2 Detailed Site Investigation (DSI) - Soil Sampling</w:t>
            </w:r>
            <w:r>
              <w:br/>
            </w:r>
            <w:r>
              <w:t xml:space="preserve">Supervision of drilling operations and soil sampling at 15 borehole locations across the Auckland site. Collection of soil gas samples for VOCs and heavy metals analysis. Chain of custody documentation prepared for laboratory submission.</w:t>
            </w:r>
          </w:p>
        </w:tc>
        <w:tc>
          <w:tcPr/>
          <w:p>
            <w:pPr>
              <w:pStyle w:val="Compact"/>
              <w:jc w:val="left"/>
            </w:pPr>
            <w:r>
              <w:t xml:space="preserve">24.5</w:t>
            </w:r>
          </w:p>
        </w:tc>
        <w:tc>
          <w:tcPr/>
          <w:p>
            <w:pPr>
              <w:pStyle w:val="Compact"/>
              <w:jc w:val="left"/>
            </w:pPr>
            <w:r>
              <w:t xml:space="preserve">285.00</w:t>
            </w:r>
          </w:p>
        </w:tc>
        <w:tc>
          <w:tcPr/>
          <w:p>
            <w:pPr>
              <w:pStyle w:val="Compact"/>
              <w:jc w:val="left"/>
            </w:pPr>
            <w:r>
              <w:t xml:space="preserve">6,982.50</w:t>
            </w:r>
          </w:p>
        </w:tc>
      </w:tr>
      <w:tr>
        <w:tc>
          <w:tcPr/>
          <w:p>
            <w:pPr>
              <w:pStyle w:val="Compact"/>
              <w:jc w:val="left"/>
            </w:pPr>
            <w:r>
              <w:t xml:space="preserve">3</w:t>
            </w:r>
          </w:p>
        </w:tc>
        <w:tc>
          <w:tcPr/>
          <w:p>
            <w:pPr>
              <w:pStyle w:val="Compact"/>
              <w:jc w:val="left"/>
            </w:pPr>
            <w:r>
              <w:rPr>
                <w:bCs/>
                <w:b/>
              </w:rPr>
              <w:t xml:space="preserve">Groundwater Monitoring Well Installation</w:t>
            </w:r>
            <w:r>
              <w:br/>
            </w:r>
            <w:r>
              <w:t xml:space="preserve">Design and installation of three (3) temporary groundwater monitoring bores to assess hydraulic gradients and potential migration of contaminants towards the Waitematā Harbour. Included geotechnical logging and completion reports.</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4</w:t>
            </w:r>
          </w:p>
        </w:tc>
        <w:tc>
          <w:tcPr/>
          <w:p>
            <w:pPr>
              <w:pStyle w:val="Compact"/>
              <w:jc w:val="left"/>
            </w:pPr>
            <w:r>
              <w:rPr>
                <w:bCs/>
                <w:b/>
              </w:rPr>
              <w:t xml:space="preserve">Environmental Impact Assessment (EIA) Report</w:t>
            </w:r>
            <w:r>
              <w:br/>
            </w:r>
            <w:r>
              <w:t xml:space="preserve">Preparation of detailed EIA for submission to Auckland Council. Analysis of potential impacts on local biodiversity, stormwater quality, and noise levels during construction. Recommendations for mitigation strategies aligned with the Auckland Unitary Plan.</w:t>
            </w:r>
          </w:p>
        </w:tc>
        <w:tc>
          <w:tcPr/>
          <w:p>
            <w:pPr>
              <w:pStyle w:val="Compact"/>
              <w:jc w:val="left"/>
            </w:pPr>
            <w:r>
              <w:t xml:space="preserve">40.0</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5</w:t>
            </w:r>
          </w:p>
        </w:tc>
        <w:tc>
          <w:tcPr/>
          <w:p>
            <w:pPr>
              <w:pStyle w:val="Compact"/>
              <w:jc w:val="left"/>
            </w:pPr>
            <w:r>
              <w:rPr>
                <w:bCs/>
                <w:b/>
              </w:rPr>
              <w:t xml:space="preserve">Stormwater Management Design</w:t>
            </w:r>
            <w:r>
              <w:br/>
            </w:r>
            <w:r>
              <w:t xml:space="preserve">Hydraulic modeling and design of sustainable urban drainage systems (SUDS) for the site. Includes calculation of runoff coefficients, design of retention basins, and filtration systems to meet Auckland Council's stormwater quality standards.</w:t>
            </w:r>
          </w:p>
        </w:tc>
        <w:tc>
          <w:tcPr/>
          <w:p>
            <w:pPr>
              <w:pStyle w:val="Compact"/>
              <w:jc w:val="left"/>
            </w:pPr>
            <w:r>
              <w:t xml:space="preserve">32.0</w:t>
            </w:r>
          </w:p>
        </w:tc>
        <w:tc>
          <w:tcPr/>
          <w:p>
            <w:pPr>
              <w:pStyle w:val="Compact"/>
              <w:jc w:val="left"/>
            </w:pPr>
            <w:r>
              <w:t xml:space="preserve">310.00</w:t>
            </w:r>
          </w:p>
        </w:tc>
        <w:tc>
          <w:tcPr/>
          <w:p>
            <w:pPr>
              <w:pStyle w:val="Compact"/>
              <w:jc w:val="left"/>
            </w:pPr>
            <w:r>
              <w:t xml:space="preserve">9,920.00</w:t>
            </w:r>
          </w:p>
        </w:tc>
      </w:tr>
      <w:tr>
        <w:tc>
          <w:tcPr/>
          <w:p>
            <w:pPr>
              <w:pStyle w:val="Compact"/>
              <w:jc w:val="left"/>
            </w:pPr>
            <w:r>
              <w:t xml:space="preserve">6</w:t>
            </w:r>
          </w:p>
        </w:tc>
        <w:tc>
          <w:tcPr/>
          <w:p>
            <w:pPr>
              <w:pStyle w:val="Compact"/>
              <w:jc w:val="left"/>
            </w:pPr>
            <w:r>
              <w:rPr>
                <w:bCs/>
                <w:b/>
              </w:rPr>
              <w:t xml:space="preserve">Resource Consent Application Support</w:t>
            </w:r>
            <w:r>
              <w:br/>
            </w:r>
            <w:r>
              <w:t xml:space="preserve">Compilation of technical evidence and environmental statements to support the Resource Consent application. Liaison with Auckland Council environmental planners and preparation of responses to initial queries regarding soil stability and contamination management.</w:t>
            </w:r>
          </w:p>
        </w:tc>
        <w:tc>
          <w:tcPr/>
          <w:p>
            <w:pPr>
              <w:pStyle w:val="Compact"/>
              <w:jc w:val="left"/>
            </w:pPr>
            <w:r>
              <w:t xml:space="preserve">18.0</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7</w:t>
            </w:r>
          </w:p>
        </w:tc>
        <w:tc>
          <w:tcPr/>
          <w:p>
            <w:pPr>
              <w:pStyle w:val="Compact"/>
              <w:jc w:val="left"/>
            </w:pPr>
            <w:r>
              <w:rPr>
                <w:bCs/>
                <w:b/>
              </w:rPr>
              <w:t xml:space="preserve">Site Remediation Strategy Development</w:t>
            </w:r>
            <w:r>
              <w:br/>
            </w:r>
            <w:r>
              <w:t xml:space="preserve">Development of a conceptual remediation plan for identified areas of hydrocarbon contamination. Evaluation of in-situ bioremediation vs. excavation options based on cost-benefit analysis and environmental risk reduction.</w:t>
            </w:r>
          </w:p>
        </w:tc>
        <w:tc>
          <w:tcPr/>
          <w:p>
            <w:pPr>
              <w:pStyle w:val="Compact"/>
              <w:jc w:val="left"/>
            </w:pPr>
            <w:r>
              <w:t xml:space="preserve">20.0</w:t>
            </w:r>
          </w:p>
        </w:tc>
        <w:tc>
          <w:tcPr/>
          <w:p>
            <w:pPr>
              <w:pStyle w:val="Compact"/>
              <w:jc w:val="left"/>
            </w:pPr>
            <w:r>
              <w:t xml:space="preserve">310.00</w:t>
            </w:r>
          </w:p>
        </w:tc>
        <w:tc>
          <w:tcPr/>
          <w:p>
            <w:pPr>
              <w:pStyle w:val="Compact"/>
              <w:jc w:val="left"/>
            </w:pPr>
            <w:r>
              <w:t xml:space="preserve">6,200.00</w:t>
            </w:r>
          </w:p>
        </w:tc>
      </w:tr>
      <w:tr>
        <w:tc>
          <w:tcPr/>
          <w:p>
            <w:pPr>
              <w:pStyle w:val="Compact"/>
              <w:jc w:val="left"/>
            </w:pPr>
            <w:r>
              <w:t xml:space="preserve">8</w:t>
            </w:r>
          </w:p>
        </w:tc>
        <w:tc>
          <w:tcPr/>
          <w:p>
            <w:pPr>
              <w:pStyle w:val="Compact"/>
              <w:jc w:val="left"/>
            </w:pPr>
            <w:r>
              <w:rPr>
                <w:bCs/>
                <w:b/>
              </w:rPr>
              <w:t xml:space="preserve">Professional Fees - Project Management</w:t>
            </w:r>
            <w:r>
              <w:br/>
            </w:r>
            <w:r>
              <w:t xml:space="preserve">Overall coordination of environmental engineering activities, scheduling of subcontractors, quality assurance of laboratory results, and progress reporting to the client throughout the investigation phase.</w:t>
            </w:r>
          </w:p>
        </w:tc>
        <w:tc>
          <w:tcPr/>
          <w:p>
            <w:pPr>
              <w:pStyle w:val="Compact"/>
              <w:jc w:val="left"/>
            </w:pPr>
            <w:r>
              <w:t xml:space="preserve">15.0</w:t>
            </w:r>
          </w:p>
        </w:tc>
        <w:tc>
          <w:tcPr/>
          <w:p>
            <w:pPr>
              <w:pStyle w:val="Compact"/>
              <w:jc w:val="left"/>
            </w:pPr>
            <w:r>
              <w:t xml:space="preserve">260.00</w:t>
            </w:r>
          </w:p>
        </w:tc>
        <w:tc>
          <w:tcPr/>
          <w:p>
            <w:pPr>
              <w:pStyle w:val="Compact"/>
              <w:jc w:val="left"/>
            </w:pPr>
            <w:r>
              <w:t xml:space="preserve">3,900.00</w:t>
            </w:r>
          </w:p>
        </w:tc>
      </w:tr>
    </w:tbl>
    <w:p>
      <w:pPr>
        <w:pStyle w:val="BodyText"/>
      </w:pPr>
      <w:r>
        <w:t xml:space="preserve">Subtotal (Excl. GST)</w:t>
      </w:r>
      <w:r>
        <w:t xml:space="preserve"> </w:t>
      </w:r>
      <w:r>
        <w:t xml:space="preserve">$52,512.50</w:t>
      </w:r>
    </w:p>
    <w:p>
      <w:pPr>
        <w:pStyle w:val="BodyText"/>
      </w:pPr>
      <w:r>
        <w:t xml:space="preserve">GST (15%)</w:t>
      </w:r>
      <w:r>
        <w:t xml:space="preserve"> </w:t>
      </w:r>
      <w:r>
        <w:t xml:space="preserve">$7,876.88</w:t>
      </w:r>
    </w:p>
    <w:p>
      <w:pPr>
        <w:pStyle w:val="BodyText"/>
      </w:pPr>
      <w:r>
        <w:t xml:space="preserve">TOTAL DUE (NZD)</w:t>
      </w:r>
      <w:r>
        <w:t xml:space="preserve"> </w:t>
      </w:r>
      <w:r>
        <w:t xml:space="preserve">$60,389.38</w:t>
      </w:r>
    </w:p>
    <w:bookmarkStart w:id="24" w:name="terms-and-conditions"/>
    <w:p>
      <w:pPr>
        <w:pStyle w:val="Heading4"/>
      </w:pPr>
      <w:r>
        <w:t xml:space="preserve">Terms and Conditions</w:t>
      </w:r>
    </w:p>
    <w:p>
      <w:pPr>
        <w:pStyle w:val="FirstParagraph"/>
      </w:pPr>
      <w:r>
        <w:t xml:space="preserve">1. Payment is due within 30 days of the invoice date. Late payments may incur interest charges at 1% per month.</w:t>
      </w:r>
    </w:p>
    <w:p>
      <w:pPr>
        <w:pStyle w:val="BodyText"/>
      </w:pPr>
      <w:r>
        <w:t xml:space="preserve">2. All services provided by our Environmental Engineers are conducted in accordance with New Zealand Standards (NZS) and Auckland Council regulations.</w:t>
      </w:r>
    </w:p>
    <w:p>
      <w:pPr>
        <w:pStyle w:val="BodyText"/>
      </w:pPr>
      <w:r>
        <w:t xml:space="preserve">3. This invoice covers professional fees only. Laboratory testing costs and drilling subcontractor fees are billed separately under invoice INV-2023-0893.</w:t>
      </w:r>
    </w:p>
    <w:p>
      <w:pPr>
        <w:pStyle w:val="BodyText"/>
      </w:pPr>
      <w:r>
        <w:t xml:space="preserve">4. Please quote the Invoice Number on all payments to ensure correct allocation.</w:t>
      </w:r>
    </w:p>
    <w:p>
      <w:pPr>
        <w:pStyle w:val="BodyText"/>
      </w:pPr>
      <w:r>
        <w:t xml:space="preserve">5. Disputes regarding this invoice must be raised in writing within 14 days of receipt.</w:t>
      </w:r>
    </w:p>
    <w:bookmarkEnd w:id="24"/>
    <w:bookmarkStart w:id="25" w:name="payment-methods"/>
    <w:p>
      <w:pPr>
        <w:pStyle w:val="Heading4"/>
      </w:pPr>
      <w:r>
        <w:t xml:space="preserve">Payment Methods</w:t>
      </w:r>
    </w:p>
    <w:p>
      <w:pPr>
        <w:pStyle w:val="FirstParagraph"/>
      </w:pPr>
      <w:r>
        <w:t xml:space="preserve">We accept payment via Bank Transfer (preferred), Cheque, or Credit Card (2.5% surcharge applies).</w:t>
      </w:r>
    </w:p>
    <w:p>
      <w:pPr>
        <w:pStyle w:val="BodyText"/>
      </w:pPr>
      <w:r>
        <w:t xml:space="preserve">For credit card payments, please contact our accounts department.</w:t>
      </w:r>
    </w:p>
    <w:bookmarkEnd w:id="25"/>
    <w:bookmarkStart w:id="26" w:name="bank-transfer-details"/>
    <w:p>
      <w:pPr>
        <w:pStyle w:val="Heading4"/>
      </w:pPr>
      <w:r>
        <w:t xml:space="preserve">Bank Transfer Details</w:t>
      </w:r>
    </w:p>
    <w:p>
      <w:pPr>
        <w:pStyle w:val="FirstParagraph"/>
      </w:pPr>
      <w:r>
        <w:rPr>
          <w:bCs/>
          <w:b/>
        </w:rPr>
        <w:t xml:space="preserve">Bank:</w:t>
      </w:r>
      <w:r>
        <w:t xml:space="preserve"> </w:t>
      </w:r>
      <w:r>
        <w:t xml:space="preserve">BNZ (Bank of New Zealand)</w:t>
      </w:r>
    </w:p>
    <w:p>
      <w:pPr>
        <w:pStyle w:val="BodyText"/>
      </w:pPr>
      <w:r>
        <w:rPr>
          <w:bCs/>
          <w:b/>
        </w:rPr>
        <w:t xml:space="preserve">Account Name:</w:t>
      </w:r>
      <w:r>
        <w:t xml:space="preserve"> </w:t>
      </w:r>
      <w:r>
        <w:t xml:space="preserve">GreenScape Environmental Solutions Ltd</w:t>
      </w:r>
    </w:p>
    <w:p>
      <w:pPr>
        <w:pStyle w:val="BodyText"/>
      </w:pPr>
      <w:r>
        <w:rPr>
          <w:bCs/>
          <w:b/>
        </w:rPr>
        <w:t xml:space="preserve">Account Number:</w:t>
      </w:r>
      <w:r>
        <w:t xml:space="preserve"> </w:t>
      </w:r>
      <w:r>
        <w:t xml:space="preserve">02-0103-01234567-00</w:t>
      </w:r>
    </w:p>
    <w:p>
      <w:pPr>
        <w:pStyle w:val="BodyText"/>
      </w:pPr>
      <w:r>
        <w:rPr>
          <w:bCs/>
          <w:b/>
        </w:rPr>
        <w:t xml:space="preserve">Reference:</w:t>
      </w:r>
      <w:r>
        <w:t xml:space="preserve"> </w:t>
      </w:r>
      <w:r>
        <w:t xml:space="preserve">INV-2023-0892</w:t>
      </w:r>
    </w:p>
    <w:bookmarkEnd w:id="26"/>
    <w:p>
      <w:pPr>
        <w:pStyle w:val="BodyText"/>
      </w:pPr>
      <w:r>
        <w:rPr>
          <w:bCs/>
          <w:b/>
        </w:rPr>
        <w:t xml:space="preserve">Authorized By:</w:t>
      </w:r>
    </w:p>
    <w:p>
      <w:pPr>
        <w:pStyle w:val="BodyText"/>
      </w:pPr>
      <w:r>
        <w:t xml:space="preserve">Dr. Sarah Chen, Principal Environmental Engineer</w:t>
      </w:r>
    </w:p>
    <w:p>
      <w:pPr>
        <w:pStyle w:val="BodyText"/>
      </w:pPr>
      <w:r>
        <w:t xml:space="preserve">GreenScape Environmental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GreenScape Environmental Solutions Ltd | Registered in New Zealand | Company No: 1234567</w:t>
      </w:r>
    </w:p>
    <w:p>
      <w:pPr>
        <w:pStyle w:val="BodyText"/>
      </w:pPr>
      <w:r>
        <w:t xml:space="preserve">Thank you for choosing our Environmental Engineering services in Auckland, New Zealand.</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2026-10-10T01:59:28Z</dcterms:created>
  <dcterms:modified xsi:type="dcterms:W3CDTF">2026-10-10T01:59:28Z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