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r>
        <w:t xml:space="preserve"> </w:t>
      </w:r>
      <w:r>
        <w:t xml:space="preserve">-</w:t>
      </w:r>
      <w:r>
        <w:t xml:space="preserve"> </w:t>
      </w:r>
      <w:r>
        <w:t xml:space="preserve">Doha,</w:t>
      </w:r>
      <w:r>
        <w:t xml:space="preserve"> </w:t>
      </w:r>
      <w:r>
        <w:t xml:space="preserve">Qatar</w:t>
      </w:r>
    </w:p>
    <w:bookmarkStart w:id="20" w:name="greenhorizon-environmental-solutions"/>
    <w:p>
      <w:pPr>
        <w:pStyle w:val="Heading1"/>
      </w:pPr>
      <w:r>
        <w:t xml:space="preserve">GreenHorizon Environmental Solutions</w:t>
      </w:r>
    </w:p>
    <w:p>
      <w:pPr>
        <w:pStyle w:val="FirstParagraph"/>
      </w:pPr>
      <w:r>
        <w:rPr>
          <w:bCs/>
          <w:b/>
        </w:rPr>
        <w:t xml:space="preserve">Specialized Environmental Engineering Consultancy</w:t>
      </w:r>
    </w:p>
    <w:p>
      <w:pPr>
        <w:pStyle w:val="BodyText"/>
      </w:pPr>
      <w:r>
        <w:t xml:space="preserve">Office 402, Al Bidda Tower, Al Bidda Street</w:t>
      </w:r>
    </w:p>
    <w:p>
      <w:pPr>
        <w:pStyle w:val="BodyText"/>
      </w:pPr>
      <w:r>
        <w:t xml:space="preserve">Doha, Qatar</w:t>
      </w:r>
    </w:p>
    <w:p>
      <w:pPr>
        <w:pStyle w:val="BodyText"/>
      </w:pPr>
      <w:r>
        <w:t xml:space="preserve">Tel: +974 4400 1234 | Email: billing@greenhorizon.qa</w:t>
      </w:r>
    </w:p>
    <w:p>
      <w:pPr>
        <w:pStyle w:val="BodyText"/>
      </w:pPr>
      <w:r>
        <w:t xml:space="preserve">Commercial Registration: CR-12345678</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Qatar National Development Authority</w:t>
      </w:r>
    </w:p>
    <w:p>
      <w:pPr>
        <w:pStyle w:val="BodyText"/>
      </w:pPr>
      <w:r>
        <w:t xml:space="preserve">Attn: Procurement Department</w:t>
      </w:r>
    </w:p>
    <w:p>
      <w:pPr>
        <w:pStyle w:val="BodyText"/>
      </w:pPr>
      <w:r>
        <w:t xml:space="preserve">P.O. Box 23456</w:t>
      </w:r>
    </w:p>
    <w:p>
      <w:pPr>
        <w:pStyle w:val="BodyText"/>
      </w:pPr>
      <w:r>
        <w:t xml:space="preserve">Doha, Qatar</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Lusail Sustainability &amp; Waste Management Optimization</w:t>
      </w:r>
    </w:p>
    <w:p>
      <w:pPr>
        <w:pStyle w:val="BodyText"/>
      </w:pPr>
      <w:r>
        <w:rPr>
          <w:bCs/>
          <w:b/>
        </w:rPr>
        <w:t xml:space="preserve">Invoice Number:</w:t>
      </w:r>
      <w:r>
        <w:t xml:space="preserve"> </w:t>
      </w:r>
      <w:r>
        <w:t xml:space="preserve">INV-QA-2023-089</w:t>
      </w:r>
    </w:p>
    <w:p>
      <w:pPr>
        <w:pStyle w:val="BodyText"/>
      </w:pPr>
      <w:r>
        <w:rPr>
          <w:bCs/>
          <w:b/>
        </w:rPr>
        <w:t xml:space="preserve">Service Period:</w:t>
      </w:r>
      <w:r>
        <w:t xml:space="preserve"> </w:t>
      </w:r>
      <w:r>
        <w:t xml:space="preserve">September 1, 2023 – September 30, 2023</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rPr>
                <w:bCs/>
                <w:b/>
              </w:rPr>
              <w:t xml:space="preserve">Senior Environmental Engineer Consultation:</w:t>
            </w:r>
            <w:r>
              <w:t xml:space="preserve"> </w:t>
            </w:r>
            <w:r>
              <w:t xml:space="preserve">Comprehensive site assessment for the Lusail expansion project. This includes evaluating soil stability, groundwater quality analysis, and air quality monitoring protocols in accordance with the Qatar Environment and Energy Research Institute (QEERI) standards.</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Environmental Impact Assessment (EIA) Drafting:</w:t>
            </w:r>
            <w:r>
              <w:t xml:space="preserve"> </w:t>
            </w:r>
            <w:r>
              <w:t xml:space="preserve">Preparation of the preliminary EIA report focusing on biodiversity preservation and noise pollution mitigation strategies. This service ensures full compliance with the Qatar Environment and Energy Regulatory Authority (QEERA) regulations for construction zones in Doha.</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rPr>
                <w:bCs/>
                <w:b/>
              </w:rPr>
              <w:t xml:space="preserve">Waste Management System Design:</w:t>
            </w:r>
            <w:r>
              <w:t xml:space="preserve"> </w:t>
            </w:r>
            <w:r>
              <w:t xml:space="preserve">Engineering design for a closed-loop construction waste recycling system. This includes the layout for sorting facilities and hazardous material containment units tailored for the specific climatic conditions of Qatar.</w:t>
            </w:r>
          </w:p>
        </w:tc>
        <w:tc>
          <w:tcPr/>
          <w:p>
            <w:pPr>
              <w:pStyle w:val="Compact"/>
              <w:jc w:val="left"/>
            </w:pPr>
            <w:r>
              <w:t xml:space="preserve">25</w:t>
            </w:r>
          </w:p>
        </w:tc>
        <w:tc>
          <w:tcPr/>
          <w:p>
            <w:pPr>
              <w:pStyle w:val="Compact"/>
              <w:jc w:val="left"/>
            </w:pPr>
            <w:r>
              <w:t xml:space="preserve">400.00</w:t>
            </w:r>
          </w:p>
        </w:tc>
        <w:tc>
          <w:tcPr/>
          <w:p>
            <w:pPr>
              <w:pStyle w:val="Compact"/>
              <w:jc w:val="left"/>
            </w:pPr>
            <w:r>
              <w:t xml:space="preserve">10,000.00</w:t>
            </w:r>
          </w:p>
        </w:tc>
      </w:tr>
      <w:tr>
        <w:tc>
          <w:tcPr/>
          <w:p>
            <w:pPr>
              <w:pStyle w:val="Compact"/>
              <w:jc w:val="left"/>
            </w:pPr>
            <w:r>
              <w:t xml:space="preserve">4</w:t>
            </w:r>
          </w:p>
        </w:tc>
        <w:tc>
          <w:tcPr/>
          <w:p>
            <w:pPr>
              <w:pStyle w:val="Compact"/>
              <w:jc w:val="left"/>
            </w:pPr>
            <w:r>
              <w:rPr>
                <w:bCs/>
                <w:b/>
              </w:rPr>
              <w:t xml:space="preserve">Water Conservation Strategy:</w:t>
            </w:r>
            <w:r>
              <w:t xml:space="preserve"> </w:t>
            </w:r>
            <w:r>
              <w:t xml:space="preserve">Development of a greywater recycling plan for the project's landscaping and cooling systems. This aligns with the National Water Strategy of Qatar to reduce potable water dependency.</w:t>
            </w:r>
          </w:p>
        </w:tc>
        <w:tc>
          <w:tcPr/>
          <w:p>
            <w:pPr>
              <w:pStyle w:val="Compact"/>
              <w:jc w:val="left"/>
            </w:pPr>
            <w:r>
              <w:t xml:space="preserve">15</w:t>
            </w:r>
          </w:p>
        </w:tc>
        <w:tc>
          <w:tcPr/>
          <w:p>
            <w:pPr>
              <w:pStyle w:val="Compact"/>
              <w:jc w:val="left"/>
            </w:pPr>
            <w:r>
              <w:t xml:space="preserve">400.00</w:t>
            </w:r>
          </w:p>
        </w:tc>
        <w:tc>
          <w:tcPr/>
          <w:p>
            <w:pPr>
              <w:pStyle w:val="Compact"/>
              <w:jc w:val="left"/>
            </w:pPr>
            <w:r>
              <w:t xml:space="preserve">6,000.00</w:t>
            </w:r>
          </w:p>
        </w:tc>
      </w:tr>
      <w:tr>
        <w:tc>
          <w:tcPr/>
          <w:p>
            <w:pPr>
              <w:pStyle w:val="Compact"/>
              <w:jc w:val="left"/>
            </w:pPr>
            <w:r>
              <w:t xml:space="preserve">5</w:t>
            </w:r>
          </w:p>
        </w:tc>
        <w:tc>
          <w:tcPr/>
          <w:p>
            <w:pPr>
              <w:pStyle w:val="Compact"/>
              <w:jc w:val="left"/>
            </w:pPr>
            <w:r>
              <w:rPr>
                <w:bCs/>
                <w:b/>
              </w:rPr>
              <w:t xml:space="preserve">Regulatory Compliance Reporting:</w:t>
            </w:r>
            <w:r>
              <w:t xml:space="preserve"> </w:t>
            </w:r>
            <w:r>
              <w:t xml:space="preserve">Submission of monthly environmental performance reports to local authorities in Doha. Includes documentation of carbon footprint reduction metrics and dust control measures implemented on-site.</w:t>
            </w:r>
          </w:p>
        </w:tc>
        <w:tc>
          <w:tcPr/>
          <w:p>
            <w:pPr>
              <w:pStyle w:val="Compact"/>
              <w:jc w:val="left"/>
            </w:pPr>
            <w:r>
              <w:t xml:space="preserve">10</w:t>
            </w:r>
          </w:p>
        </w:tc>
        <w:tc>
          <w:tcPr/>
          <w:p>
            <w:pPr>
              <w:pStyle w:val="Compact"/>
              <w:jc w:val="left"/>
            </w:pPr>
            <w:r>
              <w:t xml:space="preserve">350.00</w:t>
            </w:r>
          </w:p>
        </w:tc>
        <w:tc>
          <w:tcPr/>
          <w:p>
            <w:pPr>
              <w:pStyle w:val="Compact"/>
              <w:jc w:val="left"/>
            </w:pPr>
            <w:r>
              <w:t xml:space="preserve">3,500.00</w:t>
            </w:r>
          </w:p>
        </w:tc>
      </w:tr>
    </w:tbl>
    <w:p>
      <w:pPr>
        <w:pStyle w:val="BodyText"/>
      </w:pPr>
      <w:r>
        <w:t xml:space="preserve">Subtotal:</w:t>
      </w:r>
      <w:r>
        <w:t xml:space="preserve"> </w:t>
      </w:r>
      <w:r>
        <w:t xml:space="preserve">50,000.00 QAR</w:t>
      </w:r>
    </w:p>
    <w:p>
      <w:pPr>
        <w:pStyle w:val="BodyText"/>
      </w:pPr>
      <w:r>
        <w:t xml:space="preserve">VAT (0% - Exempt under Gov Contract):</w:t>
      </w:r>
      <w:r>
        <w:t xml:space="preserve"> </w:t>
      </w:r>
      <w:r>
        <w:t xml:space="preserve">0.00 QAR</w:t>
      </w:r>
    </w:p>
    <w:p>
      <w:pPr>
        <w:pStyle w:val="BodyText"/>
      </w:pPr>
      <w:r>
        <w:t xml:space="preserve">Total Due:</w:t>
      </w:r>
      <w:r>
        <w:t xml:space="preserve"> </w:t>
      </w:r>
      <w:r>
        <w:t xml:space="preserve">50,000.00 QAR</w:t>
      </w:r>
    </w:p>
    <w:bookmarkStart w:id="24" w:name="payment-instructions"/>
    <w:p>
      <w:pPr>
        <w:pStyle w:val="Heading3"/>
      </w:pPr>
      <w:r>
        <w:t xml:space="preserve">Payment Instructions</w:t>
      </w:r>
    </w:p>
    <w:p>
      <w:pPr>
        <w:pStyle w:val="FirstParagraph"/>
      </w:pPr>
      <w:r>
        <w:t xml:space="preserve">Please remit payment via bank transfer to the following account within 30 days of the invoice date:</w:t>
      </w:r>
    </w:p>
    <w:p>
      <w:pPr>
        <w:pStyle w:val="BodyText"/>
      </w:pPr>
      <w:r>
        <w:rPr>
          <w:bCs/>
          <w:b/>
        </w:rPr>
        <w:t xml:space="preserve">Bank Name:</w:t>
      </w:r>
      <w:r>
        <w:t xml:space="preserve"> </w:t>
      </w:r>
      <w:r>
        <w:t xml:space="preserve">Qatar National Bank (QNB)</w:t>
      </w:r>
    </w:p>
    <w:p>
      <w:pPr>
        <w:pStyle w:val="BodyText"/>
      </w:pPr>
      <w:r>
        <w:rPr>
          <w:bCs/>
          <w:b/>
        </w:rPr>
        <w:t xml:space="preserve">Account Name:</w:t>
      </w:r>
      <w:r>
        <w:t xml:space="preserve"> </w:t>
      </w:r>
      <w:r>
        <w:t xml:space="preserve">GreenHorizon Environmental Solutions W.L.L.</w:t>
      </w:r>
    </w:p>
    <w:p>
      <w:pPr>
        <w:pStyle w:val="BodyText"/>
      </w:pPr>
      <w:r>
        <w:rPr>
          <w:bCs/>
          <w:b/>
        </w:rPr>
        <w:t xml:space="preserve">IBAN:</w:t>
      </w:r>
      <w:r>
        <w:t xml:space="preserve"> </w:t>
      </w:r>
      <w:r>
        <w:t xml:space="preserve">QA30 XXXX XXXX XXXX XXXX XXXX</w:t>
      </w:r>
    </w:p>
    <w:p>
      <w:pPr>
        <w:pStyle w:val="BodyText"/>
      </w:pPr>
      <w:r>
        <w:rPr>
          <w:bCs/>
          <w:b/>
        </w:rPr>
        <w:t xml:space="preserve">SWIFT Code:</w:t>
      </w:r>
      <w:r>
        <w:t xml:space="preserve"> </w:t>
      </w:r>
      <w:r>
        <w:t xml:space="preserve">QNBQQA</w:t>
      </w:r>
    </w:p>
    <w:p>
      <w:pPr>
        <w:pStyle w:val="BodyText"/>
      </w:pPr>
      <w:r>
        <w:rPr>
          <w:bCs/>
          <w:b/>
        </w:rPr>
        <w:t xml:space="preserve">Reference:</w:t>
      </w:r>
      <w:r>
        <w:t xml:space="preserve"> </w:t>
      </w:r>
      <w:r>
        <w:t xml:space="preserve">INV-QA-2023-089</w:t>
      </w:r>
    </w:p>
    <w:bookmarkEnd w:id="24"/>
    <w:bookmarkStart w:id="25" w:name="terms-and-conditions-service-notes"/>
    <w:p>
      <w:pPr>
        <w:pStyle w:val="Heading3"/>
      </w:pPr>
      <w:r>
        <w:t xml:space="preserve">Terms and Conditions &amp; Service Notes</w:t>
      </w:r>
    </w:p>
    <w:p>
      <w:pPr>
        <w:pStyle w:val="FirstParagraph"/>
      </w:pPr>
      <w:r>
        <w:t xml:space="preserve">This Invoice represents the professional fees for Environmental Engineering services rendered by GreenHorizon Environmental Solutions. As a leading consultancy in Qatar Doha, we are committed to delivering sustainable engineering solutions that align with the Qatar National Vision 2030.</w:t>
      </w:r>
    </w:p>
    <w:p>
      <w:pPr>
        <w:pStyle w:val="BodyText"/>
      </w:pPr>
      <w:r>
        <w:rPr>
          <w:bCs/>
          <w:b/>
        </w:rPr>
        <w:t xml:space="preserve">Scope of Work:</w:t>
      </w:r>
      <w:r>
        <w:t xml:space="preserve"> </w:t>
      </w:r>
      <w:r>
        <w:t xml:space="preserve">The services detailed above were performed by certified Environmental Engineers specializing in arid climate engineering. All assessments and designs provided adhere strictly to the technical specifications outlined in the contract agreement dated August 15, 2023.</w:t>
      </w:r>
    </w:p>
    <w:p>
      <w:pPr>
        <w:pStyle w:val="BodyText"/>
      </w:pPr>
      <w:r>
        <w:rPr>
          <w:bCs/>
          <w:b/>
        </w:rPr>
        <w:t xml:space="preserve">Regulatory Compliance:</w:t>
      </w:r>
      <w:r>
        <w:t xml:space="preserve"> </w:t>
      </w:r>
      <w:r>
        <w:t xml:space="preserve">All Environmental Impact Assessments and waste management protocols included in this invoice have been prepared in accordance with the laws and regulations of the State of Qatar. Specifically, we have adhered to the guidelines set forth by the Ministry of Municipality and the Qatar Environment and Energy Regulatory Authority (QEERA).</w:t>
      </w:r>
    </w:p>
    <w:p>
      <w:pPr>
        <w:pStyle w:val="BodyText"/>
      </w:pPr>
      <w:r>
        <w:rPr>
          <w:bCs/>
          <w:b/>
        </w:rPr>
        <w:t xml:space="preserve">Payment Terms:</w:t>
      </w:r>
      <w:r>
        <w:t xml:space="preserve"> </w:t>
      </w:r>
      <w:r>
        <w:t xml:space="preserve">Payment is due within 30 days of the invoice date. Late payments may be subject to a penalty fee of 1.5% per month on the outstanding balance, in accordance with standard commercial practices in Qatar. Please ensure the invoice number is included in the payment reference to facilitate prompt reconciliation.</w:t>
      </w:r>
    </w:p>
    <w:p>
      <w:pPr>
        <w:pStyle w:val="BodyText"/>
      </w:pPr>
      <w:r>
        <w:rPr>
          <w:bCs/>
          <w:b/>
        </w:rPr>
        <w:t xml:space="preserve">Validity:</w:t>
      </w:r>
      <w:r>
        <w:t xml:space="preserve"> </w:t>
      </w:r>
      <w:r>
        <w:t xml:space="preserve">This invoice is valid for 90 days from the date of issue. If you have any questions regarding the services provided or the charges listed, please contact our finance department at billing@greenhorizon.qa or call +974 4400 1234.</w:t>
      </w:r>
    </w:p>
    <w:p>
      <w:pPr>
        <w:pStyle w:val="BodyText"/>
      </w:pPr>
      <w:r>
        <w:t xml:space="preserve">Thank you for choosing GreenHorizon Environmental Solutions for your environmental engineering needs in Doha. We look forward to continuing our partnership in building a sustainable future for Qatar.</w:t>
      </w:r>
    </w:p>
    <w:bookmarkEnd w:id="25"/>
    <w:p>
      <w:pPr>
        <w:pStyle w:val="BodyText"/>
      </w:pPr>
      <w:r>
        <w:t xml:space="preserve">GreenHorizon Environmental Solutions W.L.L. | Doha, Qatar | www.greenhorizon.qa</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 - Doha, Qatar</dc:title>
  <dc:creator/>
  <dc:language>en</dc:language>
  <cp:keywords/>
  <dcterms:created xsi:type="dcterms:W3CDTF">2026-10-10T03:56:08Z</dcterms:created>
  <dcterms:modified xsi:type="dcterms:W3CDTF">2026-10-10T03:56:08Z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