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Environmental</w:t>
      </w:r>
      <w:r>
        <w:t xml:space="preserve"> </w:t>
      </w:r>
      <w:r>
        <w:t xml:space="preserve">Engineering</w:t>
      </w:r>
      <w:r>
        <w:t xml:space="preserve"> </w:t>
      </w:r>
      <w:r>
        <w:t xml:space="preserve">Services</w:t>
      </w:r>
    </w:p>
    <w:bookmarkStart w:id="20" w:name="ecotech-solutions-llc"/>
    <w:p>
      <w:pPr>
        <w:pStyle w:val="Heading1"/>
      </w:pPr>
      <w:r>
        <w:t xml:space="preserve">EcoTech Solutions LLC</w:t>
      </w:r>
    </w:p>
    <w:p>
      <w:pPr>
        <w:pStyle w:val="FirstParagraph"/>
      </w:pPr>
      <w:r>
        <w:rPr>
          <w:bCs/>
          <w:b/>
        </w:rPr>
        <w:t xml:space="preserve">Specialized Environmental Engineering</w:t>
      </w:r>
    </w:p>
    <w:p>
      <w:pPr>
        <w:pStyle w:val="BodyText"/>
      </w:pPr>
      <w:r>
        <w:t xml:space="preserve">Address: 12th Line, V.O., House 22, Building 1, Office 405</w:t>
      </w:r>
    </w:p>
    <w:p>
      <w:pPr>
        <w:pStyle w:val="BodyText"/>
      </w:pPr>
      <w:r>
        <w:t xml:space="preserve">Russia, Moscow, 125009</w:t>
      </w:r>
    </w:p>
    <w:p>
      <w:pPr>
        <w:pStyle w:val="BodyText"/>
      </w:pPr>
      <w:r>
        <w:t xml:space="preserve">Tax ID (INN): 7701234567</w:t>
      </w:r>
    </w:p>
    <w:p>
      <w:pPr>
        <w:pStyle w:val="BodyText"/>
      </w:pPr>
      <w:r>
        <w:t xml:space="preserve">Phone: +7 (495) 123-45-67</w:t>
      </w:r>
    </w:p>
    <w:p>
      <w:pPr>
        <w:pStyle w:val="BodyText"/>
      </w:pPr>
      <w:r>
        <w:t xml:space="preserve">Email: billing@ecotech-moscow.ru</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INV-2023-10-089</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07, 2023</w:t>
      </w:r>
    </w:p>
    <w:p>
      <w:pPr>
        <w:pStyle w:val="BodyText"/>
      </w:pPr>
      <w:r>
        <w:rPr>
          <w:bCs/>
          <w:b/>
        </w:rPr>
        <w:t xml:space="preserve">Project Reference:</w:t>
      </w:r>
      <w:r>
        <w:t xml:space="preserve"> </w:t>
      </w:r>
      <w:r>
        <w:t xml:space="preserve">MOS-ENV-2023-A</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Green Horizon Development Corp.</w:t>
      </w:r>
    </w:p>
    <w:p>
      <w:pPr>
        <w:pStyle w:val="BodyText"/>
      </w:pPr>
      <w:r>
        <w:rPr>
          <w:bCs/>
          <w:b/>
        </w:rPr>
        <w:t xml:space="preserve">Attn:</w:t>
      </w:r>
      <w:r>
        <w:t xml:space="preserve"> </w:t>
      </w:r>
      <w:r>
        <w:t xml:space="preserve">Mr. Alexei Petrov, Chief Sustainability Officer</w:t>
      </w:r>
    </w:p>
    <w:p>
      <w:pPr>
        <w:pStyle w:val="BodyText"/>
      </w:pPr>
      <w:r>
        <w:rPr>
          <w:bCs/>
          <w:b/>
        </w:rPr>
        <w:t xml:space="preserve">Address:</w:t>
      </w:r>
      <w:r>
        <w:t xml:space="preserve"> </w:t>
      </w:r>
      <w:r>
        <w:t xml:space="preserve">Tverskaya Street, 15, Building A</w:t>
      </w:r>
    </w:p>
    <w:p>
      <w:pPr>
        <w:pStyle w:val="BodyText"/>
      </w:pPr>
      <w:r>
        <w:t xml:space="preserve">Russia, Moscow, 125009</w:t>
      </w:r>
    </w:p>
    <w:p>
      <w:pPr>
        <w:pStyle w:val="BodyText"/>
      </w:pPr>
      <w:r>
        <w:rPr>
          <w:bCs/>
          <w:b/>
        </w:rPr>
        <w:t xml:space="preserve">Tax ID (INN):</w:t>
      </w:r>
      <w:r>
        <w:t xml:space="preserve"> </w:t>
      </w:r>
      <w:r>
        <w:t xml:space="preserve">7709876543</w:t>
      </w:r>
    </w:p>
    <w:p>
      <w:pPr>
        <w:pStyle w:val="BodyText"/>
      </w:pPr>
      <w:r>
        <w:rPr>
          <w:bCs/>
          <w:b/>
        </w:rPr>
        <w:t xml:space="preserve">Bank Details:</w:t>
      </w:r>
      <w:r>
        <w:t xml:space="preserve"> </w:t>
      </w:r>
      <w:r>
        <w:t xml:space="preserve">Sberbank of Russia, Acc: 40702810000000001234</w:t>
      </w:r>
    </w:p>
    <w:bookmarkEnd w:id="22"/>
    <w:bookmarkStart w:id="25" w:name="Xbdf55de3c953212b8de04a7dbbb3f24186ee0bf"/>
    <w:p>
      <w:pPr>
        <w:pStyle w:val="Heading3"/>
      </w:pPr>
      <w:r>
        <w:t xml:space="preserve">Scope of Environmental Engineering Services</w:t>
      </w:r>
    </w:p>
    <w:p>
      <w:pPr>
        <w:pStyle w:val="FirstParagraph"/>
      </w:pPr>
      <w:r>
        <w:t xml:space="preserve">This Invoice details the professional services rendered by our team of certified Environmental Engineers regarding the compliance, remediation, and sustainability assessment for the Green Horizon Development project located in the Moscow region. The following services were executed in strict accordance with the Federal Law "On Environmental Protection" and local Moscow municipal regulations.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1</w:t>
            </w:r>
          </w:p>
        </w:tc>
        <w:tc>
          <w:tcPr/>
          <w:p>
            <w:pPr>
              <w:pStyle w:val="Compact"/>
              <w:jc w:val="left"/>
            </w:pPr>
            <w:r>
              <w:rPr>
                <w:bCs/>
                <w:b/>
              </w:rPr>
              <w:t xml:space="preserve">Environmental Impact Assessment (EIA) Consultation</w:t>
            </w:r>
            <w:r>
              <w:br/>
            </w:r>
            <w:r>
              <w:t xml:space="preserve">Comprehensive review of the project's potential impact on the local Moscow ecosystem. This includes air quality modeling, noise pollution analysis, and water runoff simulation. The Environmental Engineer conducted a site visit to assess soil stability and existing flora/fauna interactions.</w:t>
            </w:r>
          </w:p>
        </w:tc>
        <w:tc>
          <w:tcPr/>
          <w:p>
            <w:pPr>
              <w:pStyle w:val="Compact"/>
              <w:jc w:val="left"/>
            </w:pPr>
            <w:r>
              <w:t xml:space="preserve">1</w:t>
            </w:r>
          </w:p>
        </w:tc>
        <w:tc>
          <w:tcPr/>
          <w:p>
            <w:pPr>
              <w:pStyle w:val="Compact"/>
              <w:jc w:val="left"/>
            </w:pPr>
            <w:r>
              <w:t xml:space="preserve">150,000.00</w:t>
            </w:r>
          </w:p>
        </w:tc>
        <w:tc>
          <w:tcPr/>
          <w:p>
            <w:pPr>
              <w:pStyle w:val="Compact"/>
              <w:jc w:val="left"/>
            </w:pPr>
            <w:r>
              <w:t xml:space="preserve">150,000.00</w:t>
            </w:r>
          </w:p>
        </w:tc>
      </w:tr>
      <w:tr>
        <w:tc>
          <w:tcPr/>
          <w:p>
            <w:pPr>
              <w:pStyle w:val="Compact"/>
              <w:jc w:val="left"/>
            </w:pPr>
            <w:r>
              <w:t xml:space="preserve">2</w:t>
            </w:r>
          </w:p>
        </w:tc>
        <w:tc>
          <w:tcPr/>
          <w:p>
            <w:pPr>
              <w:pStyle w:val="Compact"/>
              <w:jc w:val="left"/>
            </w:pPr>
            <w:r>
              <w:rPr>
                <w:bCs/>
                <w:b/>
              </w:rPr>
              <w:t xml:space="preserve">Soil Remediation Strategy &amp; Analysis</w:t>
            </w:r>
            <w:r>
              <w:br/>
            </w:r>
            <w:r>
              <w:t xml:space="preserve">Detailed laboratory analysis of soil samples taken from the construction site in Moscow. Identification of heavy metals and hydrocarbons. Development of a remediation plan compliant with Russian GOST standards for industrial land use.</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3</w:t>
            </w:r>
          </w:p>
        </w:tc>
        <w:tc>
          <w:tcPr/>
          <w:p>
            <w:pPr>
              <w:pStyle w:val="Compact"/>
              <w:jc w:val="left"/>
            </w:pPr>
            <w:r>
              <w:rPr>
                <w:bCs/>
                <w:b/>
              </w:rPr>
              <w:t xml:space="preserve">Waste Management System Design</w:t>
            </w:r>
            <w:r>
              <w:br/>
            </w:r>
            <w:r>
              <w:t xml:space="preserve">Engineering design for an on-site industrial waste sorting and processing facility. This service ensures compliance with the Federal Law "On Production and Consumption Waste." Includes calculation of waste generation rates and logistics planning for disposal in licensed Moscow facilities.</w:t>
            </w:r>
          </w:p>
        </w:tc>
        <w:tc>
          <w:tcPr/>
          <w:p>
            <w:pPr>
              <w:pStyle w:val="Compact"/>
              <w:jc w:val="left"/>
            </w:pPr>
            <w:r>
              <w:t xml:space="preserve">1</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4</w:t>
            </w:r>
          </w:p>
        </w:tc>
        <w:tc>
          <w:tcPr/>
          <w:p>
            <w:pPr>
              <w:pStyle w:val="Compact"/>
              <w:jc w:val="left"/>
            </w:pPr>
            <w:r>
              <w:rPr>
                <w:bCs/>
                <w:b/>
              </w:rPr>
              <w:t xml:space="preserve">Regulatory Compliance Reporting</w:t>
            </w:r>
            <w:r>
              <w:br/>
            </w:r>
            <w:r>
              <w:t xml:space="preserve">Preparation of mandatory documentation for submission to the Ministry of Natural Resources and Environment of the Russian Federation. Includes the "Notification on Environmental Impact" and permits required for construction activities in the Moscow administrative district.</w:t>
            </w:r>
          </w:p>
        </w:tc>
        <w:tc>
          <w:tcPr/>
          <w:p>
            <w:pPr>
              <w:pStyle w:val="Compact"/>
              <w:jc w:val="left"/>
            </w:pPr>
            <w:r>
              <w:t xml:space="preserve">1</w:t>
            </w:r>
          </w:p>
        </w:tc>
        <w:tc>
          <w:tcPr/>
          <w:p>
            <w:pPr>
              <w:pStyle w:val="Compact"/>
              <w:jc w:val="left"/>
            </w:pPr>
            <w:r>
              <w:t xml:space="preserve">65,000.00</w:t>
            </w:r>
          </w:p>
        </w:tc>
        <w:tc>
          <w:tcPr/>
          <w:p>
            <w:pPr>
              <w:pStyle w:val="Compact"/>
              <w:jc w:val="left"/>
            </w:pPr>
            <w:r>
              <w:t xml:space="preserve">65,000.00</w:t>
            </w:r>
          </w:p>
        </w:tc>
      </w:tr>
      <w:tr>
        <w:tc>
          <w:tcPr/>
          <w:p>
            <w:pPr>
              <w:pStyle w:val="Compact"/>
              <w:jc w:val="left"/>
            </w:pPr>
            <w:r>
              <w:t xml:space="preserve">5</w:t>
            </w:r>
          </w:p>
        </w:tc>
        <w:tc>
          <w:tcPr/>
          <w:p>
            <w:pPr>
              <w:pStyle w:val="Compact"/>
              <w:jc w:val="left"/>
            </w:pPr>
            <w:r>
              <w:rPr>
                <w:bCs/>
                <w:b/>
              </w:rPr>
              <w:t xml:space="preserve">On-Site Environmental Monitoring (Monthly)</w:t>
            </w:r>
            <w:r>
              <w:br/>
            </w:r>
            <w:r>
              <w:t xml:space="preserve">Deployment of sensors for real-time monitoring of particulate matter (PM2.5, PM10) and noise levels during the initial excavation phase. Weekly reporting by the lead Environmental Engineer to ensure adherence to Moscow City Health Department limits.</w:t>
            </w:r>
          </w:p>
        </w:tc>
        <w:tc>
          <w:tcPr/>
          <w:p>
            <w:pPr>
              <w:pStyle w:val="Compact"/>
              <w:jc w:val="left"/>
            </w:pPr>
            <w:r>
              <w:t xml:space="preserve">4</w:t>
            </w:r>
          </w:p>
        </w:tc>
        <w:tc>
          <w:tcPr/>
          <w:p>
            <w:pPr>
              <w:pStyle w:val="Compact"/>
              <w:jc w:val="left"/>
            </w:pPr>
            <w:r>
              <w:t xml:space="preserve">25,000.00</w:t>
            </w:r>
          </w:p>
        </w:tc>
        <w:tc>
          <w:tcPr/>
          <w:p>
            <w:pPr>
              <w:pStyle w:val="Compact"/>
              <w:jc w:val="left"/>
            </w:pPr>
            <w:r>
              <w:t xml:space="preserve">100,000.00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520,000.00 RUB</w:t>
            </w:r>
          </w:p>
        </w:tc>
      </w:tr>
      <w:tr>
        <w:tc>
          <w:tcPr/>
          <w:p>
            <w:pPr>
              <w:pStyle w:val="Compact"/>
              <w:jc w:val="left"/>
            </w:pPr>
            <w:r>
              <w:t xml:space="preserve">VAT (20%):</w:t>
            </w:r>
          </w:p>
        </w:tc>
        <w:tc>
          <w:tcPr/>
          <w:p>
            <w:pPr>
              <w:pStyle w:val="Compact"/>
              <w:jc w:val="right"/>
            </w:pPr>
            <w:r>
              <w:t xml:space="preserve">104,000.00 RUB</w:t>
            </w:r>
          </w:p>
        </w:tc>
      </w:tr>
      <w:tr>
        <w:tc>
          <w:tcPr/>
          <w:p>
            <w:pPr>
              <w:pStyle w:val="Compact"/>
              <w:jc w:val="left"/>
            </w:pPr>
            <w:r>
              <w:t xml:space="preserve">TOTAL DUE:</w:t>
            </w:r>
          </w:p>
        </w:tc>
        <w:tc>
          <w:tcPr/>
          <w:p>
            <w:pPr>
              <w:pStyle w:val="Compact"/>
              <w:jc w:val="right"/>
            </w:pPr>
            <w:r>
              <w:t xml:space="preserve">624,000.00 RUB</w:t>
            </w:r>
          </w:p>
        </w:tc>
      </w:tr>
    </w:tbl>
    <w:bookmarkStart w:id="23" w:name="payment-terms-and-conditions"/>
    <w:p>
      <w:pPr>
        <w:pStyle w:val="Heading4"/>
      </w:pPr>
      <w:r>
        <w:t xml:space="preserve">Payment Terms and Conditions</w:t>
      </w:r>
    </w:p>
    <w:p>
      <w:pPr>
        <w:pStyle w:val="FirstParagraph"/>
      </w:pPr>
      <w:r>
        <w:t xml:space="preserve">Payment is due within 14 days of the Invoice date. Please make payments via bank transfer to the account details listed below.</w:t>
      </w:r>
      <w:r>
        <w:t xml:space="preserve"> </w:t>
      </w:r>
      <w:r>
        <w:t xml:space="preserve">Late payments will incur a penalty interest rate of 0.1% per day on the outstanding balance, in accordance with the Civil Code of the Russian Federation.</w:t>
      </w:r>
    </w:p>
    <w:p>
      <w:pPr>
        <w:pStyle w:val="BodyText"/>
      </w:pPr>
      <w:r>
        <w:rPr>
          <w:bCs/>
          <w:b/>
        </w:rPr>
        <w:t xml:space="preserve">Bank Transfer Details:</w:t>
      </w:r>
      <w:r>
        <w:br/>
      </w:r>
      <w:r>
        <w:t xml:space="preserve">Beneficiary: EcoTech Solutions LLC</w:t>
      </w:r>
      <w:r>
        <w:br/>
      </w:r>
      <w:r>
        <w:t xml:space="preserve">Bank: VTB Bank, Moscow Branch</w:t>
      </w:r>
      <w:r>
        <w:br/>
      </w:r>
      <w:r>
        <w:t xml:space="preserve">Account Number: 40702810500000009876</w:t>
      </w:r>
      <w:r>
        <w:br/>
      </w:r>
      <w:r>
        <w:t xml:space="preserve">BIC: 044525225</w:t>
      </w:r>
      <w:r>
        <w:br/>
      </w:r>
      <w:r>
        <w:t xml:space="preserve">Correspondent Account: 30101810700000000225</w:t>
      </w:r>
    </w:p>
    <w:bookmarkEnd w:id="23"/>
    <w:bookmarkStart w:id="24" w:name="service-notes"/>
    <w:p>
      <w:pPr>
        <w:pStyle w:val="Heading4"/>
      </w:pPr>
      <w:r>
        <w:t xml:space="preserve">Service Notes</w:t>
      </w:r>
    </w:p>
    <w:p>
      <w:pPr>
        <w:pStyle w:val="FirstParagraph"/>
      </w:pPr>
      <w:r>
        <w:t xml:space="preserve">This Invoice represents the professional fees for the Environmental Engineer services rendered. It does not include third-party laboratory fees or government permit fees, which have been paid directly by the client. All data provided in the reports is based on the site conditions observed in Moscow as of the dates specified in the project log.</w:t>
      </w:r>
    </w:p>
    <w:p>
      <w:pPr>
        <w:pStyle w:val="BodyText"/>
      </w:pPr>
      <w:r>
        <w:t xml:space="preserve">By accepting this Invoice, the client acknowledges that the Environmental Impact Assessment and subsequent engineering recommendations have been reviewed and approved for the next phase of construction.</w:t>
      </w:r>
    </w:p>
    <w:bookmarkEnd w:id="24"/>
    <w:p>
      <w:pPr>
        <w:pStyle w:val="BodyText"/>
      </w:pPr>
      <w:r>
        <w:rPr>
          <w:bCs/>
          <w:b/>
        </w:rPr>
        <w:t xml:space="preserve">Authorized Signature (EcoTech Solutions)</w:t>
      </w:r>
    </w:p>
    <w:p>
      <w:pPr>
        <w:pStyle w:val="BodyText"/>
      </w:pPr>
      <w:r>
        <w:t xml:space="preserve">Ivan Volkov, Lead Environmental Engineer</w:t>
      </w:r>
    </w:p>
    <w:p>
      <w:pPr>
        <w:pStyle w:val="BodyText"/>
      </w:pPr>
      <w:r>
        <w:t xml:space="preserve">Date: _________________</w:t>
      </w:r>
    </w:p>
    <w:p>
      <w:pPr>
        <w:pStyle w:val="BodyText"/>
      </w:pPr>
      <w:r>
        <w:rPr>
          <w:bCs/>
          <w:b/>
        </w:rPr>
        <w:t xml:space="preserve">Received By (Client)</w:t>
      </w:r>
    </w:p>
    <w:p>
      <w:pPr>
        <w:pStyle w:val="BodyText"/>
      </w:pPr>
      <w:r>
        <w:t xml:space="preserve">Alexei Petrov, Green Horizon Development</w:t>
      </w:r>
    </w:p>
    <w:p>
      <w:pPr>
        <w:pStyle w:val="BodyText"/>
      </w:pPr>
      <w:r>
        <w:t xml:space="preserve">Date: _________________</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Environmental Engineering Services</dc:title>
  <dc:creator/>
  <dc:language>en</dc:language>
  <cp:keywords/>
  <dcterms:created xsi:type="dcterms:W3CDTF">2026-10-10T02:34:02Z</dcterms:created>
  <dcterms:modified xsi:type="dcterms:W3CDTF">2026-10-10T02:34:02Z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