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tech-solutions-ltd."/>
    <w:p>
      <w:pPr>
        <w:pStyle w:val="Heading1"/>
      </w:pPr>
      <w:r>
        <w:t xml:space="preserve">EcoTech Solutions Ltd.</w:t>
      </w:r>
    </w:p>
    <w:p>
      <w:pPr>
        <w:pStyle w:val="FirstParagraph"/>
      </w:pPr>
      <w:r>
        <w:rPr>
          <w:bCs/>
          <w:b/>
        </w:rPr>
        <w:t xml:space="preserve">Specialized Environmental Engineering Consultancy</w:t>
      </w:r>
    </w:p>
    <w:p>
      <w:pPr>
        <w:pStyle w:val="BodyText"/>
      </w:pPr>
      <w:r>
        <w:t xml:space="preserve">19th Line, Vasilievsky Island, Building 42, Office 305</w:t>
      </w:r>
    </w:p>
    <w:p>
      <w:pPr>
        <w:pStyle w:val="BodyText"/>
      </w:pPr>
      <w:r>
        <w:t xml:space="preserve">Saint Petersburg, Russia, 199106</w:t>
      </w:r>
    </w:p>
    <w:p>
      <w:pPr>
        <w:pStyle w:val="BodyText"/>
      </w:pPr>
      <w:r>
        <w:t xml:space="preserve">Tel: +7 (812) 555-01-99</w:t>
      </w:r>
    </w:p>
    <w:p>
      <w:pPr>
        <w:pStyle w:val="BodyText"/>
      </w:pPr>
      <w:r>
        <w:t xml:space="preserve">Email: billing@ecotech-spb.ru</w:t>
      </w:r>
    </w:p>
    <w:p>
      <w:pPr>
        <w:pStyle w:val="BodyText"/>
      </w:pPr>
      <w:r>
        <w:t xml:space="preserve">INN: 7801234567 | KPP: 780101001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INV-SPB-2023-089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SPB-ENV-REM-2023</w:t>
      </w:r>
    </w:p>
    <w:bookmarkEnd w:id="21"/>
    <w:bookmarkStart w:id="22" w:name="bill-to"/>
    <w:p>
      <w:pPr>
        <w:pStyle w:val="Heading3"/>
      </w:pPr>
      <w:r>
        <w:t xml:space="preserve">Bill To:</w:t>
      </w:r>
    </w:p>
    <w:p>
      <w:pPr>
        <w:pStyle w:val="FirstParagraph"/>
      </w:pPr>
      <w:r>
        <w:rPr>
          <w:bCs/>
          <w:b/>
        </w:rPr>
        <w:t xml:space="preserve">Industrial Complex "NevaStar"</w:t>
      </w:r>
    </w:p>
    <w:p>
      <w:pPr>
        <w:pStyle w:val="BodyText"/>
      </w:pPr>
      <w:r>
        <w:t xml:space="preserve">Attn: Chief Sustainability Officer</w:t>
      </w:r>
    </w:p>
    <w:p>
      <w:pPr>
        <w:pStyle w:val="BodyText"/>
      </w:pPr>
      <w:r>
        <w:t xml:space="preserve">Prospekt Oborony, 145</w:t>
      </w:r>
    </w:p>
    <w:p>
      <w:pPr>
        <w:pStyle w:val="BodyText"/>
      </w:pPr>
      <w:r>
        <w:t xml:space="preserve">Saint Petersburg, Russia, 190005</w:t>
      </w:r>
    </w:p>
    <w:p>
      <w:pPr>
        <w:pStyle w:val="BodyText"/>
      </w:pPr>
      <w:r>
        <w:t xml:space="preserve">INN: 7829876543</w:t>
      </w:r>
    </w:p>
    <w:bookmarkEnd w:id="22"/>
    <w:bookmarkStart w:id="23" w:name="project-site"/>
    <w:p>
      <w:pPr>
        <w:pStyle w:val="Heading3"/>
      </w:pPr>
      <w:r>
        <w:t xml:space="preserve">Project Site:</w:t>
      </w:r>
    </w:p>
    <w:p>
      <w:pPr>
        <w:pStyle w:val="FirstParagraph"/>
      </w:pPr>
      <w:r>
        <w:rPr>
          <w:bCs/>
          <w:b/>
        </w:rPr>
        <w:t xml:space="preserve">NevaStar Manufacturing Plant</w:t>
      </w:r>
    </w:p>
    <w:p>
      <w:pPr>
        <w:pStyle w:val="BodyText"/>
      </w:pPr>
      <w:r>
        <w:t xml:space="preserve">Kronverksky Prospekt, 48</w:t>
      </w:r>
    </w:p>
    <w:p>
      <w:pPr>
        <w:pStyle w:val="BodyText"/>
      </w:pPr>
      <w:r>
        <w:t xml:space="preserve">Saint Petersburg, Russia, 194100</w:t>
      </w:r>
    </w:p>
    <w:p>
      <w:pPr>
        <w:pStyle w:val="BodyText"/>
      </w:pPr>
      <w:r>
        <w:rPr>
          <w:iCs/>
          <w:i/>
        </w:rPr>
        <w:t xml:space="preserve">Site Contact: Mr. Alexei Volkov</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 / Hours</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Comprehensive Environmental Impact Assessment (EIA)</w:t>
            </w:r>
            <w:r>
              <w:br/>
            </w:r>
            <w:r>
              <w:t xml:space="preserve">Detailed analysis of the proposed expansion project in Saint Petersburg. This includes baseline data collection, air quality modeling, and noise pollution assessment in compliance with Federal Law No. 7-FZ "On Environmental Protection."</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Soil and Groundwater Remediation Strategy</w:t>
            </w:r>
            <w:r>
              <w:br/>
            </w:r>
            <w:r>
              <w:t xml:space="preserve">Development of a remediation plan for contaminated brownfield sites within the facility. Includes laboratory analysis of soil samples for heavy metals and hydrocarbons, risk assessment, and selection of bioremediation technologies suitable for the Saint Petersburg climate.</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rPr>
                <w:bCs/>
                <w:b/>
              </w:rPr>
              <w:t xml:space="preserve">Wastewater Treatment System Optimization</w:t>
            </w:r>
            <w:r>
              <w:br/>
            </w:r>
            <w:r>
              <w:t xml:space="preserve">Engineering audit of the existing on-site wastewater treatment plant. Recommendations for upgrading filtration systems to meet stricter discharge limits into the Neva River basin. Includes hydraulic modeling and chemical dosing optimization.</w:t>
            </w:r>
          </w:p>
        </w:tc>
        <w:tc>
          <w:tcPr/>
          <w:p>
            <w:pPr>
              <w:pStyle w:val="Compact"/>
              <w:jc w:val="left"/>
            </w:pPr>
            <w:r>
              <w:t xml:space="preserve">40</w:t>
            </w:r>
          </w:p>
        </w:tc>
        <w:tc>
          <w:tcPr/>
          <w:p>
            <w:pPr>
              <w:pStyle w:val="Compact"/>
              <w:jc w:val="left"/>
            </w:pPr>
            <w:r>
              <w:t xml:space="preserve">5,500.00</w:t>
            </w:r>
          </w:p>
        </w:tc>
        <w:tc>
          <w:tcPr/>
          <w:p>
            <w:pPr>
              <w:pStyle w:val="Compact"/>
              <w:jc w:val="left"/>
            </w:pPr>
            <w:r>
              <w:t xml:space="preserve">220,000.00</w:t>
            </w:r>
          </w:p>
        </w:tc>
      </w:tr>
      <w:tr>
        <w:tc>
          <w:tcPr/>
          <w:p>
            <w:pPr>
              <w:pStyle w:val="Compact"/>
              <w:jc w:val="left"/>
            </w:pPr>
            <w:r>
              <w:t xml:space="preserve">4</w:t>
            </w:r>
          </w:p>
        </w:tc>
        <w:tc>
          <w:tcPr/>
          <w:p>
            <w:pPr>
              <w:pStyle w:val="Compact"/>
              <w:jc w:val="left"/>
            </w:pPr>
            <w:r>
              <w:rPr>
                <w:bCs/>
                <w:b/>
              </w:rPr>
              <w:t xml:space="preserve">Air Emission Monitoring and Compliance Reporting</w:t>
            </w:r>
            <w:r>
              <w:br/>
            </w:r>
            <w:r>
              <w:t xml:space="preserve">Installation and calibration of continuous emission monitoring systems (CEMS) for industrial stacks. Preparation of mandatory reporting documents for the Ministry of Natural Resources and Environment of the Russian Federation.</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5</w:t>
            </w:r>
          </w:p>
        </w:tc>
        <w:tc>
          <w:tcPr/>
          <w:p>
            <w:pPr>
              <w:pStyle w:val="Compact"/>
              <w:jc w:val="left"/>
            </w:pPr>
            <w:r>
              <w:rPr>
                <w:bCs/>
                <w:b/>
              </w:rPr>
              <w:t xml:space="preserve">ISO 14001 Environmental Management System Implementation</w:t>
            </w:r>
            <w:r>
              <w:br/>
            </w:r>
            <w:r>
              <w:t xml:space="preserve">Consultancy services to align NevaStar's operations with international environmental standards. Includes gap analysis, policy drafting, staff training workshops in Saint Petersburg, and preparation for external audit.</w:t>
            </w:r>
          </w:p>
        </w:tc>
        <w:tc>
          <w:tcPr/>
          <w:p>
            <w:pPr>
              <w:pStyle w:val="Compact"/>
              <w:jc w:val="left"/>
            </w:pPr>
            <w:r>
              <w:t xml:space="preserve">60</w:t>
            </w:r>
          </w:p>
        </w:tc>
        <w:tc>
          <w:tcPr/>
          <w:p>
            <w:pPr>
              <w:pStyle w:val="Compact"/>
              <w:jc w:val="left"/>
            </w:pPr>
            <w:r>
              <w:t xml:space="preserve">4,000.00</w:t>
            </w:r>
          </w:p>
        </w:tc>
        <w:tc>
          <w:tcPr/>
          <w:p>
            <w:pPr>
              <w:pStyle w:val="Compact"/>
              <w:jc w:val="left"/>
            </w:pPr>
            <w:r>
              <w:t xml:space="preserve">240,000.00</w:t>
            </w:r>
          </w:p>
        </w:tc>
      </w:tr>
      <w:tr>
        <w:tc>
          <w:tcPr/>
          <w:p>
            <w:pPr>
              <w:pStyle w:val="Compact"/>
              <w:jc w:val="left"/>
            </w:pPr>
            <w:r>
              <w:t xml:space="preserve">6</w:t>
            </w:r>
          </w:p>
        </w:tc>
        <w:tc>
          <w:tcPr/>
          <w:p>
            <w:pPr>
              <w:pStyle w:val="Compact"/>
              <w:jc w:val="left"/>
            </w:pPr>
            <w:r>
              <w:rPr>
                <w:bCs/>
                <w:b/>
              </w:rPr>
              <w:t xml:space="preserve">Hazardous Waste Management Plan</w:t>
            </w:r>
            <w:r>
              <w:br/>
            </w:r>
            <w:r>
              <w:t xml:space="preserve">Design of a compliant storage and disposal protocol for industrial hazardous waste. Coordination with licensed waste processing facilities in the Leningrad Region to ensure legal chain-of-custody and documentation.</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p>
      <w:pPr>
        <w:pStyle w:val="BodyText"/>
      </w:pPr>
      <w:r>
        <w:t xml:space="preserve">Subtotal:</w:t>
      </w:r>
      <w:r>
        <w:t xml:space="preserve"> </w:t>
      </w:r>
      <w:r>
        <w:t xml:space="preserve">1,505,000.00 RUB</w:t>
      </w:r>
    </w:p>
    <w:p>
      <w:pPr>
        <w:pStyle w:val="BodyText"/>
      </w:pPr>
      <w:r>
        <w:t xml:space="preserve">VAT (20%):</w:t>
      </w:r>
      <w:r>
        <w:t xml:space="preserve"> </w:t>
      </w:r>
      <w:r>
        <w:t xml:space="preserve">301,000.00 RUB</w:t>
      </w:r>
    </w:p>
    <w:p>
      <w:pPr>
        <w:pStyle w:val="BodyText"/>
      </w:pPr>
      <w:r>
        <w:t xml:space="preserve">TOTAL DUE:</w:t>
      </w:r>
      <w:r>
        <w:t xml:space="preserve"> </w:t>
      </w:r>
      <w:r>
        <w:t xml:space="preserve">1,806,000.00 RUB</w:t>
      </w:r>
    </w:p>
    <w:bookmarkStart w:id="24" w:name="payment-terms-and-banking-details"/>
    <w:p>
      <w:pPr>
        <w:pStyle w:val="Heading4"/>
      </w:pPr>
      <w:r>
        <w:t xml:space="preserve">Payment Terms and Banking Details</w:t>
      </w:r>
    </w:p>
    <w:p>
      <w:pPr>
        <w:pStyle w:val="FirstParagraph"/>
      </w:pPr>
      <w:r>
        <w:t xml:space="preserve">Payment is due within 30 days of the invoice date. Please make payment via bank transfer to the following account:</w:t>
      </w:r>
    </w:p>
    <w:p>
      <w:pPr>
        <w:pStyle w:val="BodyText"/>
      </w:pPr>
      <w:r>
        <w:rPr>
          <w:bCs/>
          <w:b/>
        </w:rPr>
        <w:t xml:space="preserve">Bank Name:</w:t>
      </w:r>
      <w:r>
        <w:t xml:space="preserve"> </w:t>
      </w:r>
      <w:r>
        <w:t xml:space="preserve">JSC Sberbank</w:t>
      </w:r>
      <w:r>
        <w:br/>
      </w:r>
      <w:r>
        <w:rPr>
          <w:bCs/>
          <w:b/>
        </w:rPr>
        <w:t xml:space="preserve">Account Name:</w:t>
      </w:r>
      <w:r>
        <w:t xml:space="preserve"> </w:t>
      </w:r>
      <w:r>
        <w:t xml:space="preserve">EcoTech Solutions Ltd.</w:t>
      </w:r>
      <w:r>
        <w:br/>
      </w:r>
      <w:r>
        <w:rPr>
          <w:bCs/>
          <w:b/>
        </w:rPr>
        <w:t xml:space="preserve">Account Number:</w:t>
      </w:r>
      <w:r>
        <w:t xml:space="preserve"> </w:t>
      </w:r>
      <w:r>
        <w:t xml:space="preserve">40702810938000012345</w:t>
      </w:r>
      <w:r>
        <w:br/>
      </w:r>
      <w:r>
        <w:rPr>
          <w:bCs/>
          <w:b/>
        </w:rPr>
        <w:t xml:space="preserve">BIC:</w:t>
      </w:r>
      <w:r>
        <w:t xml:space="preserve"> </w:t>
      </w:r>
      <w:r>
        <w:t xml:space="preserve">044525225</w:t>
      </w:r>
      <w:r>
        <w:br/>
      </w:r>
      <w:r>
        <w:rPr>
          <w:bCs/>
          <w:b/>
        </w:rPr>
        <w:t xml:space="preserve">Correspondent Account:</w:t>
      </w:r>
      <w:r>
        <w:t xml:space="preserve"> </w:t>
      </w:r>
      <w:r>
        <w:t xml:space="preserve">30101810400000000225</w:t>
      </w:r>
    </w:p>
    <w:p>
      <w:pPr>
        <w:pStyle w:val="BodyText"/>
      </w:pPr>
      <w:r>
        <w:br/>
      </w:r>
    </w:p>
    <w:bookmarkEnd w:id="24"/>
    <w:bookmarkStart w:id="25" w:name="X011fea3c0d23f404a50d316a36ccbb634a691b2"/>
    <w:p>
      <w:pPr>
        <w:pStyle w:val="Heading4"/>
      </w:pPr>
      <w:r>
        <w:t xml:space="preserve">Important Notes Regarding Environmental Engineering Services</w:t>
      </w:r>
    </w:p>
    <w:p>
      <w:pPr>
        <w:pStyle w:val="FirstParagraph"/>
      </w:pPr>
      <w:r>
        <w:t xml:space="preserve">This Invoice covers professional services rendered by certified Environmental Engineers specializing in industrial compliance and remediation within the jurisdiction of Saint Petersburg and the Russian Federation. All calculations, models, and assessments provided in this engagement are based on current environmental regulations, including the Water Code of the Russian Federation and the Air Protection Law.</w:t>
      </w:r>
    </w:p>
    <w:p>
      <w:pPr>
        <w:pStyle w:val="BodyText"/>
      </w:pPr>
      <w:r>
        <w:t xml:space="preserve">The client acknowledges that the implementation of the recommended remediation strategies and system optimizations is critical for maintaining operational licenses and avoiding penalties from regulatory bodies such as Rosprirodnadzor. EcoTech Solutions Ltd. warrants that all engineering advice provided meets the professional standards expected of an Environmental Engineer in Russia.</w:t>
      </w:r>
    </w:p>
    <w:p>
      <w:pPr>
        <w:pStyle w:val="BodyText"/>
      </w:pPr>
      <w:r>
        <w:t xml:space="preserve">Late payments may incur a penalty interest rate of 0.1% per day on the outstanding balance. Please reference Invoice Number INV-SPB-2023-089 in all correspondence and payment transfers.</w:t>
      </w:r>
    </w:p>
    <w:bookmarkEnd w:id="25"/>
    <w:p>
      <w:pPr>
        <w:pStyle w:val="BodyText"/>
      </w:pPr>
      <w:r>
        <w:t xml:space="preserve">EcoTech Solutions Ltd. | 19th Line, Vasilievsky Island, Saint Petersburg, Russia</w:t>
      </w:r>
    </w:p>
    <w:p>
      <w:pPr>
        <w:pStyle w:val="BodyText"/>
      </w:pPr>
      <w:r>
        <w:t xml:space="preserve">Thank you for your business. We are committed to a sustainable future for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2026-10-10T03:50:26Z</dcterms:created>
  <dcterms:modified xsi:type="dcterms:W3CDTF">2026-10-10T03:50:26Z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