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 Horizon Environmental Solutions</w:t>
      </w:r>
    </w:p>
    <w:p>
      <w:pPr>
        <w:pStyle w:val="FirstParagraph"/>
      </w:pPr>
      <w:r>
        <w:t xml:space="preserve">Professional Environmental Engineering Services</w:t>
      </w:r>
    </w:p>
    <w:p>
      <w:pPr>
        <w:pStyle w:val="BodyText"/>
      </w:pPr>
      <w:r>
        <w:t xml:space="preserve">Office 405, Al Olaya District, King Fahd Road</w:t>
      </w:r>
    </w:p>
    <w:p>
      <w:pPr>
        <w:pStyle w:val="BodyText"/>
      </w:pPr>
      <w:r>
        <w:t xml:space="preserve">Riyadh, Saudi Arabia 12211</w:t>
      </w:r>
    </w:p>
    <w:p>
      <w:pPr>
        <w:pStyle w:val="BodyText"/>
      </w:pPr>
      <w:r>
        <w:t xml:space="preserve">VAT Registration Number: 310123456789003</w:t>
      </w:r>
    </w:p>
    <w:p>
      <w:pPr>
        <w:pStyle w:val="BodyText"/>
      </w:pPr>
      <w:r>
        <w:t xml:space="preserve">Commercial Registration (CR): 1010234567</w:t>
      </w:r>
    </w:p>
    <w:p>
      <w:pPr>
        <w:pStyle w:val="BodyText"/>
      </w:pPr>
      <w:r>
        <w:t xml:space="preserve">Email: billing@greenhorizon-sa.com | Phone: +966 11 234 5678</w:t>
      </w:r>
    </w:p>
    <w:bookmarkEnd w:id="20"/>
    <w:bookmarkStart w:id="21" w:name="invoice"/>
    <w:p>
      <w:pPr>
        <w:pStyle w:val="Heading2"/>
      </w:pPr>
      <w:r>
        <w:t xml:space="preserve">INVOICE</w:t>
      </w:r>
    </w:p>
    <w:p>
      <w:pPr>
        <w:pStyle w:val="FirstParagraph"/>
      </w:pPr>
      <w:r>
        <w:t xml:space="preserve">Official Tax Invoice</w:t>
      </w:r>
    </w:p>
    <w:bookmarkEnd w:id="21"/>
    <w:bookmarkStart w:id="22" w:name="bill-to"/>
    <w:p>
      <w:pPr>
        <w:pStyle w:val="Heading3"/>
      </w:pPr>
      <w:r>
        <w:t xml:space="preserve">Bill To:</w:t>
      </w:r>
    </w:p>
    <w:p>
      <w:pPr>
        <w:pStyle w:val="FirstParagraph"/>
      </w:pPr>
      <w:r>
        <w:rPr>
          <w:bCs/>
          <w:b/>
        </w:rPr>
        <w:t xml:space="preserve">Riyadh Metropolitan Development Authority</w:t>
      </w:r>
    </w:p>
    <w:p>
      <w:pPr>
        <w:pStyle w:val="BodyText"/>
      </w:pPr>
      <w:r>
        <w:t xml:space="preserve">Environmental Compliance Department</w:t>
      </w:r>
    </w:p>
    <w:p>
      <w:pPr>
        <w:pStyle w:val="BodyText"/>
      </w:pPr>
      <w:r>
        <w:t xml:space="preserve">King Abdullah Financial District (KAFD)</w:t>
      </w:r>
    </w:p>
    <w:p>
      <w:pPr>
        <w:pStyle w:val="BodyText"/>
      </w:pPr>
      <w:r>
        <w:t xml:space="preserve">Riyadh, Saudi Arabia 11564</w:t>
      </w:r>
    </w:p>
    <w:p>
      <w:pPr>
        <w:pStyle w:val="BodyText"/>
      </w:pPr>
      <w:r>
        <w:t xml:space="preserve">VAT Number: 300987654321003</w:t>
      </w:r>
    </w:p>
    <w:p>
      <w:pPr>
        <w:pStyle w:val="BodyText"/>
      </w:pPr>
      <w:r>
        <w:t xml:space="preserve">Contact: Mr. Ahmed Al-Fahad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14, 2024</w:t>
            </w:r>
          </w:p>
        </w:tc>
      </w:tr>
      <w:tr>
        <w:tc>
          <w:tcPr/>
          <w:p>
            <w:pPr>
              <w:pStyle w:val="Compact"/>
              <w:jc w:val="left"/>
            </w:pPr>
            <w:r>
              <w:t xml:space="preserve">Project Reference:</w:t>
            </w:r>
          </w:p>
        </w:tc>
        <w:tc>
          <w:tcPr/>
          <w:p>
            <w:pPr>
              <w:pStyle w:val="Compact"/>
              <w:jc w:val="left"/>
            </w:pPr>
            <w:r>
              <w:t xml:space="preserve">ENV-RYD-2024-Q3</w:t>
            </w:r>
          </w:p>
        </w:tc>
      </w:tr>
      <w:tr>
        <w:tc>
          <w:tcPr/>
          <w:p>
            <w:pPr>
              <w:pStyle w:val="Compact"/>
              <w:jc w:val="left"/>
            </w:pPr>
            <w:r>
              <w:t xml:space="preserve">Service Period:</w:t>
            </w:r>
          </w:p>
        </w:tc>
        <w:tc>
          <w:tcPr/>
          <w:p>
            <w:pPr>
              <w:pStyle w:val="Compact"/>
              <w:jc w:val="left"/>
            </w:pPr>
            <w:r>
              <w:t xml:space="preserve">September 1 - September 30, 2024</w:t>
            </w:r>
          </w:p>
        </w:tc>
      </w:tr>
    </w:tbl>
    <w:bookmarkStart w:id="25" w:name="X496ab2e635c350336bee96dcfb8087ef845a173"/>
    <w:p>
      <w:pPr>
        <w:pStyle w:val="Heading3"/>
      </w:pPr>
      <w:r>
        <w:t xml:space="preserve">Professional Environmental Engineering Services Rendered</w:t>
      </w:r>
    </w:p>
    <w:p>
      <w:pPr>
        <w:pStyle w:val="FirstParagraph"/>
      </w:pPr>
      <w:r>
        <w:t xml:space="preserve">The following invoice details comprehensive environmental engineering consultancy services provided in accordance with Saudi Arabian environmental regulations and standards set by the National Center for Environmental Compliance (NCEC). All services were executed within the Riyadh metropolitan area to ensure regulatory compliance, environmental sustainability, and operational efficiency for the client's infrastructure projects.</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Amount (SAR)</w:t>
            </w:r>
          </w:p>
        </w:tc>
        <w:tc>
          <w:tcPr/>
          <w:p>
            <w:pPr>
              <w:pStyle w:val="Compact"/>
              <w:jc w:val="left"/>
            </w:pPr>
            <w:r>
              <w:t xml:space="preserve">VAT (15%)</w:t>
            </w:r>
          </w:p>
        </w:tc>
      </w:tr>
      <w:tr>
        <w:tc>
          <w:tcPr/>
          <w:p>
            <w:pPr>
              <w:pStyle w:val="Compact"/>
              <w:jc w:val="left"/>
            </w:pPr>
            <w:r>
              <w:t xml:space="preserve">1</w:t>
            </w:r>
          </w:p>
        </w:tc>
        <w:tc>
          <w:tcPr/>
          <w:p>
            <w:pPr>
              <w:pStyle w:val="Compact"/>
              <w:jc w:val="left"/>
            </w:pPr>
            <w:r>
              <w:rPr>
                <w:bCs/>
                <w:b/>
              </w:rPr>
              <w:t xml:space="preserve">Environmental Impact Assessment (EIA) Consultation</w:t>
            </w:r>
            <w:r>
              <w:br/>
            </w:r>
            <w:r>
              <w:t xml:space="preserve">Comprehensive EIA study for industrial zone expansion in Eastern Riyadh. Includes baseline environmental data collection, impact prediction modeling, mitigation strategy development, and regulatory documentation submission to NCEC. Conducted by senior Environmental Engineer with 10+ years experience in Saudi Arabian regulatory frameworks.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6,750.00</w:t>
            </w:r>
          </w:p>
        </w:tc>
      </w:tr>
      <w:tr>
        <w:tc>
          <w:tcPr/>
          <w:p>
            <w:pPr>
              <w:pStyle w:val="Compact"/>
              <w:jc w:val="left"/>
            </w:pPr>
            <w:r>
              <w:t xml:space="preserve">2</w:t>
            </w:r>
          </w:p>
        </w:tc>
        <w:tc>
          <w:tcPr/>
          <w:p>
            <w:pPr>
              <w:pStyle w:val="Compact"/>
              <w:jc w:val="left"/>
            </w:pPr>
            <w:r>
              <w:rPr>
                <w:bCs/>
                <w:b/>
              </w:rPr>
              <w:t xml:space="preserve">Air Quality Monitoring and Analysis</w:t>
            </w:r>
            <w:r>
              <w:br/>
            </w:r>
            <w:r>
              <w:t xml:space="preserve">Installation and operation of continuous air quality monitoring stations across three construction sites in Riyadh. Analysis of particulate matter (PM2.5, PM10), NOx, SOx, and VOC emissions. Monthly reporting with compliance verification against Saudi Environmental Standards (SES). Includes calibration certificates and data validation.</w:t>
            </w:r>
          </w:p>
        </w:tc>
        <w:tc>
          <w:tcPr/>
          <w:p>
            <w:pPr>
              <w:pStyle w:val="Compact"/>
              <w:jc w:val="left"/>
            </w:pPr>
            <w:r>
              <w:t xml:space="preserve">3</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3,825.00</w:t>
            </w:r>
          </w:p>
        </w:tc>
      </w:tr>
      <w:tr>
        <w:tc>
          <w:tcPr/>
          <w:p>
            <w:pPr>
              <w:pStyle w:val="Compact"/>
              <w:jc w:val="left"/>
            </w:pPr>
            <w:r>
              <w:t xml:space="preserve">3</w:t>
            </w:r>
          </w:p>
        </w:tc>
        <w:tc>
          <w:tcPr/>
          <w:p>
            <w:pPr>
              <w:pStyle w:val="Compact"/>
              <w:jc w:val="left"/>
            </w:pPr>
            <w:r>
              <w:rPr>
                <w:bCs/>
                <w:b/>
              </w:rPr>
              <w:t xml:space="preserve">Wastewater Treatment System Design Review</w:t>
            </w:r>
            <w:r>
              <w:br/>
            </w:r>
            <w:r>
              <w:t xml:space="preserve">Technical review and optimization of proposed wastewater treatment plant for commercial complex in Al Malqa District. Environmental Engineer conducted hydraulic modeling, biological treatment process evaluation, and effluent quality prediction. Recommendations aligned with Saudi Water Standards and NCEC discharge permits.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2,700.00</w:t>
            </w:r>
          </w:p>
        </w:tc>
      </w:tr>
      <w:tr>
        <w:tc>
          <w:tcPr/>
          <w:p>
            <w:pPr>
              <w:pStyle w:val="Compact"/>
              <w:jc w:val="left"/>
            </w:pPr>
            <w:r>
              <w:t xml:space="preserve">4</w:t>
            </w:r>
          </w:p>
        </w:tc>
        <w:tc>
          <w:tcPr/>
          <w:p>
            <w:pPr>
              <w:pStyle w:val="Compact"/>
              <w:jc w:val="left"/>
            </w:pPr>
            <w:r>
              <w:rPr>
                <w:bCs/>
                <w:b/>
              </w:rPr>
              <w:t xml:space="preserve">Soil and Groundwater Contamination Assessment</w:t>
            </w:r>
            <w:r>
              <w:br/>
            </w:r>
            <w:r>
              <w:t xml:space="preserve">Site investigation for potential hydrocarbon contamination at former fuel storage facility in Industrial City, Riyadh. Includes soil sampling (50 locations), groundwater monitoring well installation, laboratory analysis coordination, and risk assessment report. All procedures followed Saudi Arabian Standards Organization (SASO) guidelines.</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4,800.00</w:t>
            </w:r>
          </w:p>
        </w:tc>
      </w:tr>
      <w:tr>
        <w:tc>
          <w:tcPr/>
          <w:p>
            <w:pPr>
              <w:pStyle w:val="Compact"/>
              <w:jc w:val="left"/>
            </w:pPr>
            <w:r>
              <w:t xml:space="preserve">5</w:t>
            </w:r>
          </w:p>
        </w:tc>
        <w:tc>
          <w:tcPr/>
          <w:p>
            <w:pPr>
              <w:pStyle w:val="Compact"/>
              <w:jc w:val="left"/>
            </w:pPr>
            <w:r>
              <w:rPr>
                <w:bCs/>
                <w:b/>
              </w:rPr>
              <w:t xml:space="preserve">Environmental Compliance Training Program</w:t>
            </w:r>
            <w:r>
              <w:br/>
            </w:r>
            <w:r>
              <w:t xml:space="preserve">On-site training for client's operations team (25 personnel) on environmental regulations, spill response procedures, waste management protocols, and permit compliance requirements specific to Saudi Arabia. Delivered by certified Environmental Engineer trainer. Includes training materials and assessment certificates.</w:t>
            </w:r>
          </w:p>
        </w:tc>
        <w:tc>
          <w:tcPr/>
          <w:p>
            <w:pPr>
              <w:pStyle w:val="Compact"/>
              <w:jc w:val="left"/>
            </w:pPr>
            <w:r>
              <w:t xml:space="preserve">2</w:t>
            </w:r>
          </w:p>
        </w:tc>
        <w:tc>
          <w:tcPr/>
          <w:p>
            <w:pPr>
              <w:pStyle w:val="Compact"/>
              <w:jc w:val="left"/>
            </w:pPr>
            <w:r>
              <w:t xml:space="preserve">5,500.00</w:t>
            </w:r>
          </w:p>
        </w:tc>
        <w:tc>
          <w:tcPr/>
          <w:p>
            <w:pPr>
              <w:pStyle w:val="Compact"/>
              <w:jc w:val="left"/>
            </w:pPr>
            <w:r>
              <w:t xml:space="preserve">11,000.00</w:t>
            </w:r>
          </w:p>
        </w:tc>
        <w:tc>
          <w:tcPr/>
          <w:p>
            <w:pPr>
              <w:pStyle w:val="Compact"/>
              <w:jc w:val="left"/>
            </w:pPr>
            <w:r>
              <w:t xml:space="preserve">1,650.00</w:t>
            </w:r>
          </w:p>
        </w:tc>
      </w:tr>
      <w:tr>
        <w:tc>
          <w:tcPr/>
          <w:p>
            <w:pPr>
              <w:pStyle w:val="Compact"/>
              <w:jc w:val="left"/>
            </w:pPr>
            <w:r>
              <w:t xml:space="preserve">6</w:t>
            </w:r>
          </w:p>
        </w:tc>
        <w:tc>
          <w:tcPr/>
          <w:p>
            <w:pPr>
              <w:pStyle w:val="Compact"/>
              <w:jc w:val="left"/>
            </w:pPr>
            <w:r>
              <w:rPr>
                <w:bCs/>
                <w:b/>
              </w:rPr>
              <w:t xml:space="preserve">Sustainability and Carbon Footprint Analysis</w:t>
            </w:r>
            <w:r>
              <w:br/>
            </w:r>
            <w:r>
              <w:t xml:space="preserve">Comprehensive carbon footprint assessment for client's Riyadh operations in support of Saudi Green Initiative alignment. Includes Scope 1, 2, and 3 emissions calculation, reduction strategy development, and sustainability reporting framework establishment.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c>
          <w:tcPr/>
          <w:p>
            <w:pPr>
              <w:pStyle w:val="Compact"/>
              <w:jc w:val="left"/>
            </w:pPr>
            <w:r>
              <w:t xml:space="preserve">3,300.00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153,500.00 SAR</w:t>
            </w:r>
          </w:p>
        </w:tc>
      </w:tr>
      <w:tr>
        <w:tc>
          <w:tcPr/>
          <w:p>
            <w:pPr>
              <w:pStyle w:val="Compact"/>
              <w:jc w:val="left"/>
            </w:pPr>
            <w:r>
              <w:t xml:space="preserve">VAT (15%):</w:t>
            </w:r>
          </w:p>
        </w:tc>
        <w:tc>
          <w:tcPr/>
          <w:p>
            <w:pPr>
              <w:pStyle w:val="Compact"/>
              <w:jc w:val="left"/>
            </w:pPr>
            <w:r>
              <w:t xml:space="preserve">23,025.00 SAR</w:t>
            </w:r>
          </w:p>
        </w:tc>
      </w:tr>
      <w:tr>
        <w:tc>
          <w:tcPr/>
          <w:p>
            <w:pPr>
              <w:pStyle w:val="Compact"/>
              <w:jc w:val="left"/>
            </w:pPr>
            <w:r>
              <w:t xml:space="preserve">TOTAL AMOUNT DUE:</w:t>
            </w:r>
          </w:p>
        </w:tc>
        <w:tc>
          <w:tcPr/>
          <w:p>
            <w:pPr>
              <w:pStyle w:val="Compact"/>
              <w:jc w:val="left"/>
            </w:pPr>
            <w:r>
              <w:t xml:space="preserve">176,525.00 SAR</w:t>
            </w:r>
          </w:p>
        </w:tc>
      </w:tr>
    </w:tbl>
    <w:bookmarkStart w:id="23" w:name="payment-terms-and-conditions"/>
    <w:p>
      <w:pPr>
        <w:pStyle w:val="Heading4"/>
      </w:pPr>
      <w:r>
        <w:t xml:space="preserve">Payment Terms and Conditions:</w:t>
      </w:r>
    </w:p>
    <w:p>
      <w:pPr>
        <w:pStyle w:val="FirstParagraph"/>
      </w:pPr>
      <w:r>
        <w:t xml:space="preserve">1. Payment is due within 30 days from the date of this invoice. Late payments will incur interest at 1.5% per month as per Saudi Arabian commercial regulations.</w:t>
      </w:r>
      <w:r>
        <w:br/>
      </w:r>
      <w:r>
        <w:t xml:space="preserve">2. Please make payment via bank transfer to the following account:</w:t>
      </w:r>
      <w:r>
        <w:br/>
      </w:r>
      <w:r>
        <w:t xml:space="preserve">    Bank: Al Rajhi Bank</w:t>
      </w:r>
      <w:r>
        <w:br/>
      </w:r>
      <w:r>
        <w:t xml:space="preserve">    Account Name: Green Horizon Environmental Solutions Co. Ltd.</w:t>
      </w:r>
      <w:r>
        <w:br/>
      </w:r>
      <w:r>
        <w:t xml:space="preserve">    IBAN: SA03 8000 0000 6080 1016 7519</w:t>
      </w:r>
      <w:r>
        <w:br/>
      </w:r>
      <w:r>
        <w:t xml:space="preserve">    SWIFT: NBSASARXXXX</w:t>
      </w:r>
      <w:r>
        <w:br/>
      </w:r>
      <w:r>
        <w:t xml:space="preserve">    Reference: INV-2024-0892</w:t>
      </w:r>
      <w:r>
        <w:br/>
      </w:r>
      <w:r>
        <w:t xml:space="preserve">3. This invoice is issued in compliance with the Zakat, Tax and Customs Authority (ZATCA) e-invoicing requirements for Saudi Arabia.</w:t>
      </w:r>
      <w:r>
        <w:br/>
      </w:r>
      <w:r>
        <w:t xml:space="preserve">4. All environmental engineering services were performed by licensed professionals registered with the Saudi Council of Engineers.</w:t>
      </w:r>
      <w:r>
        <w:br/>
      </w:r>
      <w:r>
        <w:t xml:space="preserve">5. For any queries regarding this invoice, please contact our billing department at billing@greenhorizon-sa.com or call +966 11 234 5678.</w:t>
      </w:r>
      <w:r>
        <w:br/>
      </w:r>
      <w:r>
        <w:t xml:space="preserve">6. This document serves as an official tax invoice for VAT deduction purposes in accordance with Saudi Arabian tax law.</w:t>
      </w:r>
    </w:p>
    <w:bookmarkEnd w:id="23"/>
    <w:bookmarkStart w:id="24" w:name="service-commitment"/>
    <w:p>
      <w:pPr>
        <w:pStyle w:val="Heading4"/>
      </w:pPr>
      <w:r>
        <w:t xml:space="preserve">Service Commitment:</w:t>
      </w:r>
    </w:p>
    <w:p>
      <w:pPr>
        <w:pStyle w:val="FirstParagraph"/>
      </w:pPr>
      <w:r>
        <w:t xml:space="preserve">Green Horizon Environmental Solutions is committed to delivering the highest quality environmental engineering services in Riyadh and across Saudi Arabia. Our team of certified Environmental Engineers ensures full compliance with all applicable regulations from the National Center for Environmental Compliance (NCEC), Ministry of Environment, Water and Agriculture, and other relevant authorities. We support our clients in achieving their environmental sustainability goals while maintaining operational excellence in the Kingdom's rapidly developing infrastructure landscape.</w:t>
      </w:r>
    </w:p>
    <w:bookmarkEnd w:id="24"/>
    <w:p>
      <w:pPr>
        <w:pStyle w:val="BodyText"/>
      </w:pPr>
      <w:r>
        <w:rPr>
          <w:bCs/>
          <w:b/>
        </w:rPr>
        <w:t xml:space="preserve">Authorized Signature</w:t>
      </w:r>
    </w:p>
    <w:p>
      <w:pPr>
        <w:pStyle w:val="BodyText"/>
      </w:pPr>
      <w:r>
        <w:t xml:space="preserve">Dr. Khalid Al-Rashid</w:t>
      </w:r>
    </w:p>
    <w:p>
      <w:pPr>
        <w:pStyle w:val="BodyText"/>
      </w:pPr>
      <w:r>
        <w:t xml:space="preserve">Chief Environmental Engineer</w:t>
      </w:r>
    </w:p>
    <w:p>
      <w:pPr>
        <w:pStyle w:val="BodyText"/>
      </w:pPr>
      <w:r>
        <w:t xml:space="preserve">Green Horizon Environmental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2026-10-10T01:14:52Z</dcterms:created>
  <dcterms:modified xsi:type="dcterms:W3CDTF">2026-10-10T01:14:52Z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