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ecosolutions-barcelona"/>
    <w:p>
      <w:pPr>
        <w:pStyle w:val="Heading1"/>
      </w:pPr>
      <w:r>
        <w:t xml:space="preserve">EcoSolutions Barcelona</w:t>
      </w:r>
    </w:p>
    <w:p>
      <w:pPr>
        <w:pStyle w:val="FirstParagraph"/>
      </w:pPr>
      <w:r>
        <w:t xml:space="preserve">Environmental Engineering &amp; Consulting</w:t>
      </w:r>
    </w:p>
    <w:p>
      <w:pPr>
        <w:pStyle w:val="BodyText"/>
      </w:pPr>
      <w:r>
        <w:t xml:space="preserve">Carrer de Balmes, 150, 4th Floor</w:t>
      </w:r>
    </w:p>
    <w:p>
      <w:pPr>
        <w:pStyle w:val="BodyText"/>
      </w:pPr>
      <w:r>
        <w:t xml:space="preserve">08008 Barcelona, Spain</w:t>
      </w:r>
    </w:p>
    <w:p>
      <w:pPr>
        <w:pStyle w:val="BodyText"/>
      </w:pPr>
      <w:r>
        <w:t xml:space="preserve">NIF: B-65432198</w:t>
      </w:r>
    </w:p>
    <w:p>
      <w:pPr>
        <w:pStyle w:val="BodyText"/>
      </w:pPr>
      <w:r>
        <w:t xml:space="preserve">Email: billing@ecosolutionsbcn.com</w:t>
      </w:r>
    </w:p>
    <w:p>
      <w:pPr>
        <w:pStyle w:val="BodyText"/>
      </w:pPr>
      <w:r>
        <w:t xml:space="preserve">Phone: +34 93 123 4567</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Barcelona Urban Development Corp.</w:t>
      </w:r>
    </w:p>
    <w:p>
      <w:pPr>
        <w:pStyle w:val="BodyText"/>
      </w:pPr>
      <w:r>
        <w:t xml:space="preserve">Attn: Sustainability Department</w:t>
      </w:r>
    </w:p>
    <w:p>
      <w:pPr>
        <w:pStyle w:val="BodyText"/>
      </w:pPr>
      <w:r>
        <w:t xml:space="preserve">Avinguda Diagonal, 475</w:t>
      </w:r>
    </w:p>
    <w:p>
      <w:pPr>
        <w:pStyle w:val="BodyText"/>
      </w:pPr>
      <w:r>
        <w:t xml:space="preserve">08006 Barcelona, Spain</w:t>
      </w:r>
    </w:p>
    <w:p>
      <w:pPr>
        <w:pStyle w:val="BodyText"/>
      </w:pPr>
      <w:r>
        <w:t xml:space="preserve">NIF: A-12345678</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INV-2023-0892</w:t>
            </w:r>
          </w:p>
        </w:tc>
      </w:tr>
      <w:tr>
        <w:tc>
          <w:tcPr/>
          <w:p>
            <w:pPr>
              <w:pStyle w:val="Compact"/>
              <w:jc w:val="left"/>
            </w:pPr>
            <w:r>
              <w:t xml:space="preserve">Date Issued:</w:t>
            </w:r>
          </w:p>
        </w:tc>
        <w:tc>
          <w:tcPr/>
          <w:p>
            <w:pPr>
              <w:pStyle w:val="Compact"/>
              <w:jc w:val="left"/>
            </w:pPr>
            <w:r>
              <w:t xml:space="preserve">October 15, 2023</w:t>
            </w:r>
          </w:p>
        </w:tc>
      </w:tr>
      <w:tr>
        <w:tc>
          <w:tcPr/>
          <w:p>
            <w:pPr>
              <w:pStyle w:val="Compact"/>
              <w:jc w:val="left"/>
            </w:pPr>
            <w:r>
              <w:t xml:space="preserve">Due Date:</w:t>
            </w:r>
          </w:p>
        </w:tc>
        <w:tc>
          <w:tcPr/>
          <w:p>
            <w:pPr>
              <w:pStyle w:val="Compact"/>
              <w:jc w:val="left"/>
            </w:pPr>
            <w:r>
              <w:t xml:space="preserve">November 14, 2023</w:t>
            </w:r>
          </w:p>
        </w:tc>
      </w:tr>
      <w:tr>
        <w:tc>
          <w:tcPr/>
          <w:p>
            <w:pPr>
              <w:pStyle w:val="Compact"/>
              <w:jc w:val="left"/>
            </w:pPr>
            <w:r>
              <w:t xml:space="preserve">Project Reference:</w:t>
            </w:r>
          </w:p>
        </w:tc>
        <w:tc>
          <w:tcPr/>
          <w:p>
            <w:pPr>
              <w:pStyle w:val="Compact"/>
              <w:jc w:val="left"/>
            </w:pPr>
            <w:r>
              <w:t xml:space="preserve">BCN-GreenZone-2023</w:t>
            </w:r>
          </w:p>
        </w:tc>
      </w:tr>
    </w:tbl>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Environmental Engineering Services</w:t>
            </w:r>
          </w:p>
        </w:tc>
        <w:tc>
          <w:tcPr/>
          <w:p>
            <w:pPr>
              <w:pStyle w:val="Compact"/>
              <w:jc w:val="left"/>
            </w:pPr>
            <w:r>
              <w:t xml:space="preserve">Hours/Qty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Environmental Impact Assessment (EIA) - Phase I</w:t>
            </w:r>
            <w:r>
              <w:br/>
            </w:r>
            <w:r>
              <w:t xml:space="preserve">Comprehensive site analysis for the proposed development in the Eixample district. This service includes soil contamination screening, groundwater quality testing, and biodiversity survey in accordance with Spanish Royal Decree 1302/2018 and Catalan environmental regulations.</w:t>
            </w:r>
          </w:p>
        </w:tc>
        <w:tc>
          <w:tcPr/>
          <w:p>
            <w:pPr>
              <w:pStyle w:val="Compact"/>
              <w:jc w:val="left"/>
            </w:pPr>
            <w:r>
              <w:t xml:space="preserve">45</w:t>
            </w:r>
          </w:p>
        </w:tc>
        <w:tc>
          <w:tcPr/>
          <w:p>
            <w:pPr>
              <w:pStyle w:val="Compact"/>
              <w:jc w:val="left"/>
            </w:pPr>
            <w:r>
              <w:t xml:space="preserve">120.00</w:t>
            </w:r>
          </w:p>
        </w:tc>
        <w:tc>
          <w:tcPr/>
          <w:p>
            <w:pPr>
              <w:pStyle w:val="Compact"/>
              <w:jc w:val="left"/>
            </w:pPr>
            <w:r>
              <w:t xml:space="preserve">5,400.00</w:t>
            </w:r>
          </w:p>
        </w:tc>
      </w:tr>
      <w:tr>
        <w:tc>
          <w:tcPr/>
          <w:p>
            <w:pPr>
              <w:pStyle w:val="Compact"/>
              <w:jc w:val="left"/>
            </w:pPr>
            <w:r>
              <w:t xml:space="preserve">2</w:t>
            </w:r>
          </w:p>
        </w:tc>
        <w:tc>
          <w:tcPr/>
          <w:p>
            <w:pPr>
              <w:pStyle w:val="Compact"/>
              <w:jc w:val="left"/>
            </w:pPr>
            <w:r>
              <w:rPr>
                <w:bCs/>
                <w:b/>
              </w:rPr>
              <w:t xml:space="preserve">Air Quality Monitoring &amp; Analysis</w:t>
            </w:r>
            <w:r>
              <w:br/>
            </w:r>
            <w:r>
              <w:t xml:space="preserve">Deployment of continuous air quality monitoring stations to measure PM2.5, PM10, NO2, and O3 levels. Data analysis and reporting to ensure compliance with Barcelona's Low Emission Zone (ZBE) requirements and EU Directive 2008/50/EC. Includes calibration of equipment and preparation of technical report.</w:t>
            </w:r>
          </w:p>
        </w:tc>
        <w:tc>
          <w:tcPr/>
          <w:p>
            <w:pPr>
              <w:pStyle w:val="Compact"/>
              <w:jc w:val="left"/>
            </w:pPr>
            <w:r>
              <w:t xml:space="preserve">30</w:t>
            </w:r>
          </w:p>
        </w:tc>
        <w:tc>
          <w:tcPr/>
          <w:p>
            <w:pPr>
              <w:pStyle w:val="Compact"/>
              <w:jc w:val="left"/>
            </w:pPr>
            <w:r>
              <w:t xml:space="preserve">115.00</w:t>
            </w:r>
          </w:p>
        </w:tc>
        <w:tc>
          <w:tcPr/>
          <w:p>
            <w:pPr>
              <w:pStyle w:val="Compact"/>
              <w:jc w:val="left"/>
            </w:pPr>
            <w:r>
              <w:t xml:space="preserve">3,450.00</w:t>
            </w:r>
          </w:p>
        </w:tc>
      </w:tr>
      <w:tr>
        <w:tc>
          <w:tcPr/>
          <w:p>
            <w:pPr>
              <w:pStyle w:val="Compact"/>
              <w:jc w:val="left"/>
            </w:pPr>
            <w:r>
              <w:t xml:space="preserve">3</w:t>
            </w:r>
          </w:p>
        </w:tc>
        <w:tc>
          <w:tcPr/>
          <w:p>
            <w:pPr>
              <w:pStyle w:val="Compact"/>
              <w:jc w:val="left"/>
            </w:pPr>
            <w:r>
              <w:rPr>
                <w:bCs/>
                <w:b/>
              </w:rPr>
              <w:t xml:space="preserve">Wastewater Management System Design</w:t>
            </w:r>
            <w:r>
              <w:br/>
            </w:r>
            <w:r>
              <w:t xml:space="preserve">Engineering design for an on-site wastewater treatment facility capable of handling 500 m³/day. Includes hydraulic modeling, selection of biological treatment processes, and integration with Barcelona's urban drainage network. Design complies with Royal Decree 3/2022 on water discharge standards.</w:t>
            </w:r>
          </w:p>
        </w:tc>
        <w:tc>
          <w:tcPr/>
          <w:p>
            <w:pPr>
              <w:pStyle w:val="Compact"/>
              <w:jc w:val="left"/>
            </w:pPr>
            <w:r>
              <w:t xml:space="preserve">60</w:t>
            </w:r>
          </w:p>
        </w:tc>
        <w:tc>
          <w:tcPr/>
          <w:p>
            <w:pPr>
              <w:pStyle w:val="Compact"/>
              <w:jc w:val="left"/>
            </w:pPr>
            <w:r>
              <w:t xml:space="preserve">130.00</w:t>
            </w:r>
          </w:p>
        </w:tc>
        <w:tc>
          <w:tcPr/>
          <w:p>
            <w:pPr>
              <w:pStyle w:val="Compact"/>
              <w:jc w:val="left"/>
            </w:pPr>
            <w:r>
              <w:t xml:space="preserve">7,800.00</w:t>
            </w:r>
          </w:p>
        </w:tc>
      </w:tr>
      <w:tr>
        <w:tc>
          <w:tcPr/>
          <w:p>
            <w:pPr>
              <w:pStyle w:val="Compact"/>
              <w:jc w:val="left"/>
            </w:pPr>
            <w:r>
              <w:t xml:space="preserve">4</w:t>
            </w:r>
          </w:p>
        </w:tc>
        <w:tc>
          <w:tcPr/>
          <w:p>
            <w:pPr>
              <w:pStyle w:val="Compact"/>
              <w:jc w:val="left"/>
            </w:pPr>
            <w:r>
              <w:rPr>
                <w:bCs/>
                <w:b/>
              </w:rPr>
              <w:t xml:space="preserve">Renewable Energy Integration Consulting</w:t>
            </w:r>
            <w:r>
              <w:br/>
            </w:r>
            <w:r>
              <w:t xml:space="preserve">Feasibility study for solar photovoltaic installation on commercial rooftops within the project area. Includes energy yield assessment, shading analysis, and calculation of carbon emission reductions. Aligned with Spain's Energy Transition Law (Ley 7/2021) and Barcelona's Climate Emergency Plan.</w:t>
            </w:r>
          </w:p>
        </w:tc>
        <w:tc>
          <w:tcPr/>
          <w:p>
            <w:pPr>
              <w:pStyle w:val="Compact"/>
              <w:jc w:val="left"/>
            </w:pPr>
            <w:r>
              <w:t xml:space="preserve">25</w:t>
            </w:r>
          </w:p>
        </w:tc>
        <w:tc>
          <w:tcPr/>
          <w:p>
            <w:pPr>
              <w:pStyle w:val="Compact"/>
              <w:jc w:val="left"/>
            </w:pPr>
            <w:r>
              <w:t xml:space="preserve">125.00</w:t>
            </w:r>
          </w:p>
        </w:tc>
        <w:tc>
          <w:tcPr/>
          <w:p>
            <w:pPr>
              <w:pStyle w:val="Compact"/>
              <w:jc w:val="left"/>
            </w:pPr>
            <w:r>
              <w:t xml:space="preserve">3,125.00</w:t>
            </w:r>
          </w:p>
        </w:tc>
      </w:tr>
      <w:tr>
        <w:tc>
          <w:tcPr/>
          <w:p>
            <w:pPr>
              <w:pStyle w:val="Compact"/>
              <w:jc w:val="left"/>
            </w:pPr>
            <w:r>
              <w:t xml:space="preserve">5</w:t>
            </w:r>
          </w:p>
        </w:tc>
        <w:tc>
          <w:tcPr/>
          <w:p>
            <w:pPr>
              <w:pStyle w:val="Compact"/>
              <w:jc w:val="left"/>
            </w:pPr>
            <w:r>
              <w:rPr>
                <w:bCs/>
                <w:b/>
              </w:rPr>
              <w:t xml:space="preserve">Environmental Compliance Reporting</w:t>
            </w:r>
            <w:r>
              <w:br/>
            </w:r>
            <w:r>
              <w:t xml:space="preserve">Preparation of mandatory environmental documentation for submission to the Catalan Environmental Agency (ACA). Includes noise impact assessment, waste management plan, and ecological restoration strategy. All reports prepared in accordance with current Spanish and European environmental legislation.</w:t>
            </w:r>
          </w:p>
        </w:tc>
        <w:tc>
          <w:tcPr/>
          <w:p>
            <w:pPr>
              <w:pStyle w:val="Compact"/>
              <w:jc w:val="left"/>
            </w:pPr>
            <w:r>
              <w:t xml:space="preserve">20</w:t>
            </w:r>
          </w:p>
        </w:tc>
        <w:tc>
          <w:tcPr/>
          <w:p>
            <w:pPr>
              <w:pStyle w:val="Compact"/>
              <w:jc w:val="left"/>
            </w:pPr>
            <w:r>
              <w:t xml:space="preserve">110.00</w:t>
            </w:r>
          </w:p>
        </w:tc>
        <w:tc>
          <w:tcPr/>
          <w:p>
            <w:pPr>
              <w:pStyle w:val="Compact"/>
              <w:jc w:val="left"/>
            </w:pPr>
            <w:r>
              <w:t xml:space="preserve">2,200.00</w:t>
            </w:r>
          </w:p>
        </w:tc>
      </w:tr>
      <w:tr>
        <w:tc>
          <w:tcPr/>
          <w:p>
            <w:pPr>
              <w:pStyle w:val="Compact"/>
              <w:jc w:val="left"/>
            </w:pPr>
            <w:r>
              <w:t xml:space="preserve">6</w:t>
            </w:r>
          </w:p>
        </w:tc>
        <w:tc>
          <w:tcPr/>
          <w:p>
            <w:pPr>
              <w:pStyle w:val="Compact"/>
              <w:jc w:val="left"/>
            </w:pPr>
            <w:r>
              <w:rPr>
                <w:bCs/>
                <w:b/>
              </w:rPr>
              <w:t xml:space="preserve">Site Remediation Strategy Development</w:t>
            </w:r>
            <w:r>
              <w:br/>
            </w:r>
            <w:r>
              <w:t xml:space="preserve">Assessment of brownfield contamination and development of remediation plan for heavy metals and hydrocarbons detected in soil samples. Includes risk assessment for human health and ecosystems, selection of appropriate remediation technologies, and cost estimation for implementation.</w:t>
            </w:r>
          </w:p>
        </w:tc>
        <w:tc>
          <w:tcPr/>
          <w:p>
            <w:pPr>
              <w:pStyle w:val="Compact"/>
              <w:jc w:val="left"/>
            </w:pPr>
            <w:r>
              <w:t xml:space="preserve">35</w:t>
            </w:r>
          </w:p>
        </w:tc>
        <w:tc>
          <w:tcPr/>
          <w:p>
            <w:pPr>
              <w:pStyle w:val="Compact"/>
              <w:jc w:val="left"/>
            </w:pPr>
            <w:r>
              <w:t xml:space="preserve">135.00</w:t>
            </w:r>
          </w:p>
        </w:tc>
        <w:tc>
          <w:tcPr/>
          <w:p>
            <w:pPr>
              <w:pStyle w:val="Compact"/>
              <w:jc w:val="left"/>
            </w:pPr>
            <w:r>
              <w:t xml:space="preserve">4,725.00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€26,700.00</w:t>
            </w:r>
          </w:p>
        </w:tc>
      </w:tr>
      <w:tr>
        <w:tc>
          <w:tcPr/>
          <w:p>
            <w:pPr>
              <w:pStyle w:val="Compact"/>
              <w:jc w:val="left"/>
            </w:pPr>
            <w:r>
              <w:t xml:space="preserve">VAT (IVA) 21%:</w:t>
            </w:r>
          </w:p>
        </w:tc>
        <w:tc>
          <w:tcPr/>
          <w:p>
            <w:pPr>
              <w:pStyle w:val="Compact"/>
              <w:jc w:val="left"/>
            </w:pPr>
            <w:r>
              <w:t xml:space="preserve">€5,607.00</w:t>
            </w:r>
          </w:p>
        </w:tc>
      </w:tr>
      <w:tr>
        <w:tc>
          <w:tcPr/>
          <w:p>
            <w:pPr>
              <w:pStyle w:val="Compact"/>
              <w:jc w:val="left"/>
            </w:pPr>
            <w:r>
              <w:t xml:space="preserve">Total Amount Due:</w:t>
            </w:r>
          </w:p>
        </w:tc>
        <w:tc>
          <w:tcPr/>
          <w:p>
            <w:pPr>
              <w:pStyle w:val="Compact"/>
              <w:jc w:val="left"/>
            </w:pPr>
            <w:r>
              <w:t xml:space="preserve">€32,307.00</w:t>
            </w:r>
          </w:p>
        </w:tc>
      </w:tr>
    </w:tbl>
    <w:bookmarkStart w:id="24" w:name="payment-instructions"/>
    <w:p>
      <w:pPr>
        <w:pStyle w:val="Heading3"/>
      </w:pPr>
      <w:r>
        <w:t xml:space="preserve">Payment Instructions:</w:t>
      </w:r>
    </w:p>
    <w:p>
      <w:pPr>
        <w:pStyle w:val="FirstParagraph"/>
      </w:pPr>
      <w:r>
        <w:t xml:space="preserve">Please make payment within 30 days of the invoice date to avoid late fees.</w:t>
      </w:r>
    </w:p>
    <w:p>
      <w:pPr>
        <w:pStyle w:val="BodyText"/>
      </w:pPr>
      <w:r>
        <w:rPr>
          <w:bCs/>
          <w:b/>
        </w:rPr>
        <w:t xml:space="preserve">Bank Transfer (IBAN):</w:t>
      </w:r>
      <w:r>
        <w:t xml:space="preserve"> </w:t>
      </w:r>
      <w:r>
        <w:t xml:space="preserve">ES79 2100 0813 6101 2345 6789</w:t>
      </w:r>
    </w:p>
    <w:p>
      <w:pPr>
        <w:pStyle w:val="BodyText"/>
      </w:pPr>
      <w:r>
        <w:rPr>
          <w:bCs/>
          <w:b/>
        </w:rPr>
        <w:t xml:space="preserve">Bank:</w:t>
      </w:r>
      <w:r>
        <w:t xml:space="preserve"> </w:t>
      </w:r>
      <w:r>
        <w:t xml:space="preserve">Banco Santander, S.A.</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INV-2023-0892</w:t>
      </w:r>
    </w:p>
    <w:p>
      <w:pPr>
        <w:pStyle w:val="BodyText"/>
      </w:pPr>
      <w:r>
        <w:t xml:space="preserve">Please include the invoice number as the payment reference. For any questions regarding this invoice, please contact our billing department at billing@ecosolutionsbcn.com or call +34 93 123 4567.</w:t>
      </w:r>
    </w:p>
    <w:bookmarkEnd w:id="24"/>
    <w:p>
      <w:pPr>
        <w:pStyle w:val="BodyText"/>
      </w:pPr>
      <w:r>
        <w:rPr>
          <w:bCs/>
          <w:b/>
        </w:rPr>
        <w:t xml:space="preserve">Terms and Conditions:</w:t>
      </w:r>
    </w:p>
    <w:p>
      <w:pPr>
        <w:pStyle w:val="BodyText"/>
      </w:pPr>
      <w:r>
        <w:t xml:space="preserve">1. All services provided by EcoSolutions Barcelona are performed by licensed Environmental Engineers registered with the Colegio Oficial de Ingenieros de Caminos, Canales y Puertos de Cataluña.</w:t>
      </w:r>
    </w:p>
    <w:p>
      <w:pPr>
        <w:pStyle w:val="BodyText"/>
      </w:pPr>
      <w:r>
        <w:t xml:space="preserve">2. Payment is due within 30 days from the invoice date. Late payments will incur interest at the rate prescribed by Spanish Law 3/2004 on late payments.</w:t>
      </w:r>
    </w:p>
    <w:p>
      <w:pPr>
        <w:pStyle w:val="BodyText"/>
      </w:pPr>
      <w:r>
        <w:t xml:space="preserve">3. All environmental assessments and engineering designs are subject to the regulations of the Generalitat de Catalunya and the Kingdom of Spain.</w:t>
      </w:r>
    </w:p>
    <w:p>
      <w:pPr>
        <w:pStyle w:val="BodyText"/>
      </w:pPr>
      <w:r>
        <w:t xml:space="preserve">4. This invoice represents professional services rendered in Barcelona, Spain, and is governed by Spanish commercial law.</w:t>
      </w:r>
    </w:p>
    <w:p>
      <w:pPr>
        <w:pStyle w:val="BodyText"/>
      </w:pPr>
      <w:r>
        <w:t xml:space="preserve">5. Please retain this document for your accounting records and tax purposes. A duplicate copy is available upon request.</w:t>
      </w:r>
    </w:p>
    <w:p>
      <w:pPr>
        <w:pStyle w:val="BodyText"/>
      </w:pPr>
      <w:r>
        <w:t xml:space="preserve">6. All data and samples collected during the course of these services remain the property of the client, while methodologies and intellectual property remain with EcoSolutions Barcelona.</w:t>
      </w:r>
    </w:p>
    <w:p>
      <w:pPr>
        <w:pStyle w:val="BodyText"/>
      </w:pPr>
      <w:r>
        <w:t xml:space="preserve">EcoSolutions Barcelona - Environmental Engineering &amp; Consulting | NIF: B-65432198</w:t>
      </w:r>
    </w:p>
    <w:p>
      <w:pPr>
        <w:pStyle w:val="BodyText"/>
      </w:pPr>
      <w:r>
        <w:t xml:space="preserve">Carrer de Balmes, 150, 08008 Barcelona, Spain | +34 93 123 4567 | billing@ecosolutionsbcn.com</w:t>
      </w:r>
    </w:p>
    <w:p>
      <w:pPr>
        <w:pStyle w:val="BodyText"/>
      </w:pPr>
      <w:r>
        <w:t xml:space="preserve">Thank you for your business. We are committed to sustainable development and environmental protection in Barcelona and throughout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2026-10-10T01:15:20Z</dcterms:created>
  <dcterms:modified xsi:type="dcterms:W3CDTF">2026-10-10T01:15:20Z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