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Xc602e3f671714d994bc9f966b3a9b8c46aac015"/>
    <w:p>
      <w:pPr>
        <w:pStyle w:val="Heading1"/>
      </w:pPr>
      <w:r>
        <w:t xml:space="preserve">EcoSolutions Environmental Engineering LLC</w:t>
      </w:r>
    </w:p>
    <w:p>
      <w:pPr>
        <w:pStyle w:val="FirstParagraph"/>
      </w:pPr>
      <w:r>
        <w:t xml:space="preserve">P.O. Box 12345, Dubai, United Arab Emirates</w:t>
      </w:r>
    </w:p>
    <w:p>
      <w:pPr>
        <w:pStyle w:val="BodyText"/>
      </w:pPr>
      <w:r>
        <w:t xml:space="preserve">Office: Level 15, Al Futtaim Tower, Sheikh Zayed Road</w:t>
      </w:r>
    </w:p>
    <w:p>
      <w:pPr>
        <w:pStyle w:val="BodyText"/>
      </w:pPr>
      <w:r>
        <w:t xml:space="preserve">Phone: +971 4 123 4567 | Email: billing@ecosolutions.ae</w:t>
      </w:r>
    </w:p>
    <w:p>
      <w:pPr>
        <w:pStyle w:val="BodyText"/>
      </w:pPr>
      <w:r>
        <w:t xml:space="preserve">TRN: 100123456700003 | License No: DED-12345678</w:t>
      </w:r>
    </w:p>
    <w:bookmarkEnd w:id="20"/>
    <w:bookmarkStart w:id="21" w:name="invoice"/>
    <w:p>
      <w:pPr>
        <w:pStyle w:val="Heading2"/>
      </w:pPr>
      <w:r>
        <w:t xml:space="preserve">INVOICE</w:t>
      </w:r>
    </w:p>
    <w:p>
      <w:pPr>
        <w:pStyle w:val="FirstParagraph"/>
      </w:pPr>
      <w:r>
        <w:t xml:space="preserve">Professional Environmental Engineering Services</w:t>
      </w:r>
    </w:p>
    <w:bookmarkEnd w:id="21"/>
    <w:bookmarkStart w:id="22" w:name="bill-to"/>
    <w:p>
      <w:pPr>
        <w:pStyle w:val="Heading3"/>
      </w:pPr>
      <w:r>
        <w:t xml:space="preserve">Bill To:</w:t>
      </w:r>
    </w:p>
    <w:p>
      <w:pPr>
        <w:pStyle w:val="FirstParagraph"/>
      </w:pPr>
      <w:r>
        <w:rPr>
          <w:bCs/>
          <w:b/>
        </w:rPr>
        <w:t xml:space="preserve">Emirates Development Authority</w:t>
      </w:r>
    </w:p>
    <w:p>
      <w:pPr>
        <w:pStyle w:val="BodyText"/>
      </w:pPr>
      <w:r>
        <w:t xml:space="preserve">Attn: Procurement Department</w:t>
      </w:r>
    </w:p>
    <w:p>
      <w:pPr>
        <w:pStyle w:val="BodyText"/>
      </w:pPr>
      <w:r>
        <w:t xml:space="preserve">P.O. Box 98765, Dubai, United Arab Emirates</w:t>
      </w:r>
    </w:p>
    <w:p>
      <w:pPr>
        <w:pStyle w:val="BodyText"/>
      </w:pPr>
      <w:r>
        <w:t xml:space="preserve">TRN: 100987654300003</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of Issue:</w:t>
            </w:r>
          </w:p>
        </w:tc>
        <w:tc>
          <w:tcPr/>
          <w:p>
            <w:pPr>
              <w:pStyle w:val="Compact"/>
              <w:jc w:val="left"/>
            </w:pPr>
            <w:r>
              <w:t xml:space="preserve">November 15, 2024</w:t>
            </w:r>
          </w:p>
        </w:tc>
      </w:tr>
      <w:tr>
        <w:tc>
          <w:tcPr/>
          <w:p>
            <w:pPr>
              <w:pStyle w:val="Compact"/>
              <w:jc w:val="left"/>
            </w:pPr>
            <w:r>
              <w:t xml:space="preserve">Due Date:</w:t>
            </w:r>
          </w:p>
        </w:tc>
        <w:tc>
          <w:tcPr/>
          <w:p>
            <w:pPr>
              <w:pStyle w:val="Compact"/>
              <w:jc w:val="left"/>
            </w:pPr>
            <w:r>
              <w:t xml:space="preserve">December 15, 2024</w:t>
            </w:r>
          </w:p>
        </w:tc>
      </w:tr>
      <w:tr>
        <w:tc>
          <w:tcPr/>
          <w:p>
            <w:pPr>
              <w:pStyle w:val="Compact"/>
              <w:jc w:val="left"/>
            </w:pPr>
            <w:r>
              <w:t xml:space="preserve">Project Reference:</w:t>
            </w:r>
          </w:p>
        </w:tc>
        <w:tc>
          <w:tcPr/>
          <w:p>
            <w:pPr>
              <w:pStyle w:val="Compact"/>
              <w:jc w:val="left"/>
            </w:pPr>
            <w:r>
              <w:t xml:space="preserve">ENV-DXB-2024-045</w:t>
            </w:r>
          </w:p>
        </w:tc>
      </w:tr>
      <w:tr>
        <w:tc>
          <w:tcPr/>
          <w:p>
            <w:pPr>
              <w:pStyle w:val="Compact"/>
              <w:jc w:val="left"/>
            </w:pPr>
            <w:r>
              <w:t xml:space="preserve">Service Period:</w:t>
            </w:r>
          </w:p>
        </w:tc>
        <w:tc>
          <w:tcPr/>
          <w:p>
            <w:pPr>
              <w:pStyle w:val="Compact"/>
              <w:jc w:val="left"/>
            </w:pPr>
            <w:r>
              <w:t xml:space="preserve">October 1 - November 14, 2024</w:t>
            </w:r>
          </w:p>
        </w:tc>
      </w:tr>
    </w:tbl>
    <w:bookmarkStart w:id="23" w:name="Xf5f4d4a8cdd1782344f79aa82ea1697609c488d"/>
    <w:p>
      <w:pPr>
        <w:pStyle w:val="Heading3"/>
      </w:pPr>
      <w:r>
        <w:t xml:space="preserve">Description of Environmental Engineering Services</w:t>
      </w:r>
    </w:p>
    <w:p>
      <w:pPr>
        <w:pStyle w:val="FirstParagraph"/>
      </w:pPr>
      <w:r>
        <w:t xml:space="preserve">This invoice covers comprehensive environmental engineering consultancy services provided in accordance with the regulations set forth by the Dubai Municipality and the Environment Agency - Abu Dhabi (EAD). Our team of certified Environmental Engineers has conducted thorough assessments, impact studies, and compliance audits to ensure all environmental standards are met for your development project in the United Arab Emirates Dubai region.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rPr>
                <w:bCs/>
                <w:b/>
              </w:rPr>
              <w:t xml:space="preserve">Environmental Impact Assessment (EIA)</w:t>
            </w:r>
            <w:r>
              <w:br/>
            </w:r>
            <w:r>
              <w:t xml:space="preserve">Comprehensive EIA study conducted by senior Environmental Engineers including air quality modeling, noise impact analysis, and ecological sensitivity mapping for the proposed commercial development site in Dubai Marina district. Report submitted to Dubai Municipality Environmental Department.</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Soil and Groundwater Contamination Study</w:t>
            </w:r>
            <w:r>
              <w:br/>
            </w:r>
            <w:r>
              <w:t xml:space="preserve">Phase I and Phase II Environmental Site Assessment including soil sampling, laboratory analysis, and groundwater quality testing. Performed by licensed Environmental Engineers in compliance with UAE Federal Law No. 24 of 1999 concerning the protection and development of the environment.</w:t>
            </w:r>
          </w:p>
        </w:tc>
        <w:tc>
          <w:tcPr/>
          <w:p>
            <w:pPr>
              <w:pStyle w:val="Compact"/>
              <w:jc w:val="left"/>
            </w:pPr>
            <w:r>
              <w:t xml:space="preserve">1</w:t>
            </w:r>
          </w:p>
        </w:tc>
        <w:tc>
          <w:tcPr/>
          <w:p>
            <w:pPr>
              <w:pStyle w:val="Compact"/>
              <w:jc w:val="left"/>
            </w:pPr>
            <w:r>
              <w:t xml:space="preserve">32,500.00</w:t>
            </w:r>
          </w:p>
        </w:tc>
        <w:tc>
          <w:tcPr/>
          <w:p>
            <w:pPr>
              <w:pStyle w:val="Compact"/>
              <w:jc w:val="left"/>
            </w:pPr>
            <w:r>
              <w:t xml:space="preserve">32,500.00</w:t>
            </w:r>
          </w:p>
        </w:tc>
      </w:tr>
      <w:tr>
        <w:tc>
          <w:tcPr/>
          <w:p>
            <w:pPr>
              <w:pStyle w:val="Compact"/>
              <w:jc w:val="left"/>
            </w:pPr>
            <w:r>
              <w:t xml:space="preserve">3</w:t>
            </w:r>
          </w:p>
        </w:tc>
        <w:tc>
          <w:tcPr/>
          <w:p>
            <w:pPr>
              <w:pStyle w:val="Compact"/>
              <w:jc w:val="left"/>
            </w:pPr>
            <w:r>
              <w:rPr>
                <w:bCs/>
                <w:b/>
              </w:rPr>
              <w:t xml:space="preserve">Waste Management Plan Development</w:t>
            </w:r>
            <w:r>
              <w:br/>
            </w:r>
            <w:r>
              <w:t xml:space="preserve">Customized waste management strategy for construction and operational phases, including hazardous waste handling protocols, recycling programs, and coordination with Dubai Municipality waste disposal facilities. Prepared by certified Environmental Engineers.</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4</w:t>
            </w:r>
          </w:p>
        </w:tc>
        <w:tc>
          <w:tcPr/>
          <w:p>
            <w:pPr>
              <w:pStyle w:val="Compact"/>
              <w:jc w:val="left"/>
            </w:pPr>
            <w:r>
              <w:rPr>
                <w:bCs/>
                <w:b/>
              </w:rPr>
              <w:t xml:space="preserve">Environmental Compliance Monitoring</w:t>
            </w:r>
            <w:r>
              <w:br/>
            </w:r>
            <w:r>
              <w:t xml:space="preserve">Monthly environmental monitoring services including ambient air quality measurements, noise level assessments, and dust control verification. Conducted by field Environmental Engineers using calibrated instruments approved by UAE authorities.</w:t>
            </w:r>
          </w:p>
        </w:tc>
        <w:tc>
          <w:tcPr/>
          <w:p>
            <w:pPr>
              <w:pStyle w:val="Compact"/>
              <w:jc w:val="left"/>
            </w:pPr>
            <w:r>
              <w:t xml:space="preserve">2</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5</w:t>
            </w:r>
          </w:p>
        </w:tc>
        <w:tc>
          <w:tcPr/>
          <w:p>
            <w:pPr>
              <w:pStyle w:val="Compact"/>
              <w:jc w:val="left"/>
            </w:pPr>
            <w:r>
              <w:rPr>
                <w:bCs/>
                <w:b/>
              </w:rPr>
              <w:t xml:space="preserve">Sustainability and Green Building Consultation</w:t>
            </w:r>
            <w:r>
              <w:br/>
            </w:r>
            <w:r>
              <w:t xml:space="preserve">Advisory services for achieving Estidama Pearl Rating and LEED certification. Environmental Engineers provided recommendations for energy efficiency, water conservation, and sustainable material selection in alignment with Dubai's green building regulations.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6</w:t>
            </w:r>
          </w:p>
        </w:tc>
        <w:tc>
          <w:tcPr/>
          <w:p>
            <w:pPr>
              <w:pStyle w:val="Compact"/>
              <w:jc w:val="left"/>
            </w:pPr>
            <w:r>
              <w:rPr>
                <w:bCs/>
                <w:b/>
              </w:rPr>
              <w:t xml:space="preserve">Regulatory Permitting Support</w:t>
            </w:r>
            <w:r>
              <w:br/>
            </w:r>
            <w:r>
              <w:t xml:space="preserve">Preparation and submission of environmental permits and approvals to relevant authorities in United Arab Emirates Dubai including Dubai Municipality, DEWA, and RTA. Environmental Engineers managed all documentation and coordination with government entities.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AED 157,250.00</w:t>
            </w:r>
          </w:p>
        </w:tc>
      </w:tr>
      <w:tr>
        <w:tc>
          <w:tcPr/>
          <w:p>
            <w:pPr>
              <w:pStyle w:val="Compact"/>
              <w:jc w:val="left"/>
            </w:pPr>
            <w:r>
              <w:t xml:space="preserve">VAT (5%)</w:t>
            </w:r>
            <w:r>
              <w:t xml:space="preserve"> </w:t>
            </w:r>
            <w:r>
              <w:t xml:space="preserve">[Mandatory in UAE]</w:t>
            </w:r>
            <w:r>
              <w:t xml:space="preserve">:</w:t>
            </w:r>
          </w:p>
        </w:tc>
        <w:tc>
          <w:tcPr/>
          <w:p>
            <w:pPr>
              <w:pStyle w:val="Compact"/>
              <w:jc w:val="left"/>
            </w:pPr>
            <w:r>
              <w:t xml:space="preserve">AED 7,862.50</w:t>
            </w:r>
          </w:p>
        </w:tc>
      </w:tr>
      <w:tr>
        <w:tc>
          <w:tcPr/>
          <w:p>
            <w:pPr>
              <w:pStyle w:val="Compact"/>
              <w:jc w:val="left"/>
            </w:pPr>
            <w:r>
              <w:t xml:space="preserve">TOTAL AMOUNT DUE:</w:t>
            </w:r>
          </w:p>
        </w:tc>
        <w:tc>
          <w:tcPr/>
          <w:p>
            <w:pPr>
              <w:pStyle w:val="Compact"/>
              <w:jc w:val="left"/>
            </w:pPr>
            <w:r>
              <w:t xml:space="preserve">AED 165,112.50</w:t>
            </w:r>
          </w:p>
        </w:tc>
      </w:tr>
    </w:tbl>
    <w:bookmarkEnd w:id="23"/>
    <w:bookmarkStart w:id="24" w:name="payment-instructions"/>
    <w:p>
      <w:pPr>
        <w:pStyle w:val="Heading3"/>
      </w:pPr>
      <w:r>
        <w:t xml:space="preserve">Payment Instructions</w:t>
      </w:r>
    </w:p>
    <w:p>
      <w:pPr>
        <w:pStyle w:val="FirstParagraph"/>
      </w:pPr>
      <w:r>
        <w:rPr>
          <w:bCs/>
          <w:b/>
        </w:rPr>
        <w:t xml:space="preserve">Bank Name:</w:t>
      </w:r>
      <w:r>
        <w:t xml:space="preserve"> </w:t>
      </w:r>
      <w:r>
        <w:t xml:space="preserve">Emirates NBD</w:t>
      </w:r>
    </w:p>
    <w:p>
      <w:pPr>
        <w:pStyle w:val="BodyText"/>
      </w:pPr>
      <w:r>
        <w:rPr>
          <w:bCs/>
          <w:b/>
        </w:rPr>
        <w:t xml:space="preserve">Account Name:</w:t>
      </w:r>
      <w:r>
        <w:t xml:space="preserve"> </w:t>
      </w:r>
      <w:r>
        <w:t xml:space="preserve">EcoSolutions Environmental Engineering LLC</w:t>
      </w:r>
    </w:p>
    <w:p>
      <w:pPr>
        <w:pStyle w:val="BodyText"/>
      </w:pPr>
      <w:r>
        <w:rPr>
          <w:bCs/>
          <w:b/>
        </w:rPr>
        <w:t xml:space="preserve">Account Number:</w:t>
      </w:r>
      <w:r>
        <w:t xml:space="preserve"> </w:t>
      </w:r>
      <w:r>
        <w:t xml:space="preserve">1001 2345 6789 0123</w:t>
      </w:r>
    </w:p>
    <w:p>
      <w:pPr>
        <w:pStyle w:val="BodyText"/>
      </w:pPr>
      <w:r>
        <w:rPr>
          <w:bCs/>
          <w:b/>
        </w:rPr>
        <w:t xml:space="preserve">IBAN:</w:t>
      </w:r>
      <w:r>
        <w:t xml:space="preserve"> </w:t>
      </w:r>
      <w:r>
        <w:t xml:space="preserve">AE07 0331 2345 6789 0123 456</w:t>
      </w:r>
    </w:p>
    <w:p>
      <w:pPr>
        <w:pStyle w:val="BodyText"/>
      </w:pPr>
      <w:r>
        <w:rPr>
          <w:bCs/>
          <w:b/>
        </w:rPr>
        <w:t xml:space="preserve">SWIFT Code:</w:t>
      </w:r>
      <w:r>
        <w:t xml:space="preserve"> </w:t>
      </w:r>
      <w:r>
        <w:t xml:space="preserve">EBILAEAD</w:t>
      </w:r>
    </w:p>
    <w:p>
      <w:pPr>
        <w:pStyle w:val="BodyText"/>
      </w:pPr>
      <w:r>
        <w:rPr>
          <w:bCs/>
          <w:b/>
        </w:rPr>
        <w:t xml:space="preserve">Payment Reference:</w:t>
      </w:r>
      <w:r>
        <w:t xml:space="preserve"> </w:t>
      </w:r>
      <w:r>
        <w:t xml:space="preserve">Please quote Invoice Number INV-2024-0892</w:t>
      </w:r>
    </w:p>
    <w:p>
      <w:pPr>
        <w:pStyle w:val="BodyText"/>
      </w:pPr>
      <w:r>
        <w:t xml:space="preserve">Payment is due within 30 days from the date of this invoice. Late payments may incur a penalty of 1% per month as per UAE commercial regulations. All amounts are in United Arab Emirates Dirhams (AED).</w:t>
      </w:r>
    </w:p>
    <w:bookmarkEnd w:id="24"/>
    <w:bookmarkStart w:id="25" w:name="terms-and-conditions"/>
    <w:p>
      <w:pPr>
        <w:pStyle w:val="Heading4"/>
      </w:pPr>
      <w:r>
        <w:t xml:space="preserve">Terms and Conditions</w:t>
      </w:r>
    </w:p>
    <w:p>
      <w:pPr>
        <w:numPr>
          <w:ilvl w:val="0"/>
          <w:numId w:val="1001"/>
        </w:numPr>
        <w:pStyle w:val="Compact"/>
      </w:pPr>
      <w:r>
        <w:t xml:space="preserve">All environmental engineering services have been performed in accordance with the professional standards and regulations applicable in the United Arab Emirates Dubai.</w:t>
      </w:r>
    </w:p>
    <w:p>
      <w:pPr>
        <w:numPr>
          <w:ilvl w:val="0"/>
          <w:numId w:val="1001"/>
        </w:numPr>
        <w:pStyle w:val="Compact"/>
      </w:pPr>
      <w:r>
        <w:t xml:space="preserve">This invoice is subject to the Federal Decree-Law No. 8 of 2017 on Value Added Tax as enforced by the Federal Tax Authority (FTA) of the UAE.</w:t>
      </w:r>
    </w:p>
    <w:p>
      <w:pPr>
        <w:numPr>
          <w:ilvl w:val="0"/>
          <w:numId w:val="1001"/>
        </w:numPr>
        <w:pStyle w:val="Compact"/>
      </w:pPr>
      <w:r>
        <w:t xml:space="preserve">Our Environmental Engineers have utilized industry-standard methodologies and equipment calibrated according to UAE government specifications.</w:t>
      </w:r>
    </w:p>
    <w:p>
      <w:pPr>
        <w:numPr>
          <w:ilvl w:val="0"/>
          <w:numId w:val="1001"/>
        </w:numPr>
        <w:pStyle w:val="Compact"/>
      </w:pPr>
      <w:r>
        <w:t xml:space="preserve">All reports and documentation provided remain the intellectual property of EcoSolutions Environmental Engineering LLC until full payment is received.</w:t>
      </w:r>
    </w:p>
    <w:p>
      <w:pPr>
        <w:numPr>
          <w:ilvl w:val="0"/>
          <w:numId w:val="1001"/>
        </w:numPr>
        <w:pStyle w:val="Compact"/>
      </w:pPr>
      <w:r>
        <w:t xml:space="preserve">Any disputes arising from this invoice shall be resolved in accordance with the laws of the United Arab Emirates and under the jurisdiction of the Dubai Courts.</w:t>
      </w:r>
    </w:p>
    <w:p>
      <w:pPr>
        <w:numPr>
          <w:ilvl w:val="0"/>
          <w:numId w:val="1001"/>
        </w:numPr>
        <w:pStyle w:val="Compact"/>
      </w:pPr>
      <w:r>
        <w:t xml:space="preserve">This invoice must be presented with the original tax invoice for VAT recovery purposes as per UAE tax regulations.</w:t>
      </w:r>
    </w:p>
    <w:p>
      <w:pPr>
        <w:numPr>
          <w:ilvl w:val="0"/>
          <w:numId w:val="1001"/>
        </w:numPr>
        <w:pStyle w:val="Compact"/>
      </w:pPr>
      <w:r>
        <w:t xml:space="preserve">Services rendered include all professional fees, site visits, laboratory coordination, and report preparation as detailed above.</w:t>
      </w:r>
    </w:p>
    <w:p>
      <w:pPr>
        <w:numPr>
          <w:ilvl w:val="0"/>
          <w:numId w:val="1001"/>
        </w:numPr>
        <w:pStyle w:val="Compact"/>
      </w:pPr>
      <w:r>
        <w:t xml:space="preserve">For any queries regarding this invoice, please contact our billing department at billing@ecosolutions.ae or call +971 4 123 4567.</w:t>
      </w:r>
    </w:p>
    <w:bookmarkEnd w:id="25"/>
    <w:p>
      <w:pPr>
        <w:pStyle w:val="FirstParagraph"/>
      </w:pPr>
      <w:r>
        <w:t xml:space="preserve">EcoSolutions Environmental Engineering LLC | P.O. Box 12345, Dubai, United Arab Emirates</w:t>
      </w:r>
    </w:p>
    <w:p>
      <w:pPr>
        <w:pStyle w:val="BodyText"/>
      </w:pPr>
      <w:r>
        <w:t xml:space="preserve">License No: DED-12345678 | TRN: 100123456700003 | www.ecosolutions.ae</w:t>
      </w:r>
    </w:p>
    <w:p>
      <w:pPr>
        <w:pStyle w:val="BodyText"/>
      </w:pPr>
      <w:r>
        <w:t xml:space="preserve">Thank you for your business. We are committed to providing exceptional environmental engineering services in the United Arab Emirates Dubai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2026-10-10T03:00:19Z</dcterms:created>
  <dcterms:modified xsi:type="dcterms:W3CDTF">2026-10-10T03:00:19Z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