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greenhorizon-environmental-consultants"/>
    <w:p>
      <w:pPr>
        <w:pStyle w:val="Heading1"/>
      </w:pPr>
      <w:r>
        <w:t xml:space="preserve">GreenHorizon Environmental Consultants</w:t>
      </w:r>
    </w:p>
    <w:p>
      <w:pPr>
        <w:pStyle w:val="FirstParagraph"/>
      </w:pPr>
      <w:r>
        <w:t xml:space="preserve">Chartered Environmental Engineering Firm</w:t>
      </w:r>
    </w:p>
    <w:p>
      <w:pPr>
        <w:pStyle w:val="BodyText"/>
      </w:pPr>
      <w:r>
        <w:t xml:space="preserve">123 Sustainability Way, Canary Wharf</w:t>
      </w:r>
    </w:p>
    <w:p>
      <w:pPr>
        <w:pStyle w:val="BodyText"/>
      </w:pPr>
      <w:r>
        <w:t xml:space="preserve">London, E14 5AB, United Kingdom</w:t>
      </w:r>
    </w:p>
    <w:p>
      <w:pPr>
        <w:pStyle w:val="BodyText"/>
      </w:pPr>
      <w:r>
        <w:t xml:space="preserve">Tel: +44 (0)20 7946 0958</w:t>
      </w:r>
    </w:p>
    <w:p>
      <w:pPr>
        <w:pStyle w:val="BodyText"/>
      </w:pPr>
      <w:r>
        <w:t xml:space="preserve">Email: accounts@greenhorizon-uk.co.uk</w:t>
      </w:r>
    </w:p>
    <w:p>
      <w:pPr>
        <w:pStyle w:val="BodyText"/>
      </w:pPr>
      <w:r>
        <w:t xml:space="preserve">Company No: 12345678 | VAT No: GB 999 8887 77</w:t>
      </w:r>
    </w:p>
    <w:bookmarkEnd w:id="20"/>
    <w:bookmarkStart w:id="21" w:name="invoice"/>
    <w:p>
      <w:pPr>
        <w:pStyle w:val="Heading2"/>
      </w:pPr>
      <w:r>
        <w:t xml:space="preserve">INVOICE</w:t>
      </w:r>
    </w:p>
    <w:p>
      <w:pPr>
        <w:pStyle w:val="FirstParagraph"/>
      </w:pPr>
      <w:r>
        <w:t xml:space="preserve">Invoice Number: INV-2023-10-045</w:t>
      </w:r>
    </w:p>
    <w:p>
      <w:pPr>
        <w:pStyle w:val="BodyText"/>
      </w:pPr>
      <w:r>
        <w:t xml:space="preserve">Date of Issue: 24 October 2023</w:t>
      </w:r>
    </w:p>
    <w:p>
      <w:pPr>
        <w:pStyle w:val="BodyText"/>
      </w:pPr>
      <w:r>
        <w:t xml:space="preserve">Due Date: 23 November 2023</w:t>
      </w:r>
    </w:p>
    <w:p>
      <w:pPr>
        <w:pStyle w:val="BodyText"/>
      </w:pPr>
      <w:r>
        <w:t xml:space="preserve">Reference: Project Alpha - Thames Embankment Remediation</w:t>
      </w:r>
    </w:p>
    <w:bookmarkEnd w:id="21"/>
    <w:bookmarkStart w:id="22" w:name="bill-to"/>
    <w:p>
      <w:pPr>
        <w:pStyle w:val="Heading3"/>
      </w:pPr>
      <w:r>
        <w:t xml:space="preserve">Bill To:</w:t>
      </w:r>
    </w:p>
    <w:p>
      <w:pPr>
        <w:pStyle w:val="FirstParagraph"/>
      </w:pPr>
      <w:r>
        <w:rPr>
          <w:bCs/>
          <w:b/>
        </w:rPr>
        <w:t xml:space="preserve">Thames Development Group Ltd.</w:t>
      </w:r>
    </w:p>
    <w:p>
      <w:pPr>
        <w:pStyle w:val="BodyText"/>
      </w:pPr>
      <w:r>
        <w:t xml:space="preserve">45 Riverfront Plaza, Docklands</w:t>
      </w:r>
    </w:p>
    <w:p>
      <w:pPr>
        <w:pStyle w:val="BodyText"/>
      </w:pPr>
      <w:r>
        <w:t xml:space="preserve">London, E14 9SH, United Kingdom</w:t>
      </w:r>
    </w:p>
    <w:p>
      <w:pPr>
        <w:pStyle w:val="BodyText"/>
      </w:pPr>
      <w:r>
        <w:t xml:space="preserve">Attn: Mr. James Sterling, Director of Operations</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Environmental Engineering Services</w:t>
            </w:r>
          </w:p>
        </w:tc>
        <w:tc>
          <w:tcPr/>
          <w:p>
            <w:pPr>
              <w:pStyle w:val="Compact"/>
              <w:jc w:val="left"/>
            </w:pPr>
            <w:r>
              <w:t xml:space="preserve">Hours / 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Phase I Environmental Site Assessment (ESA)</w:t>
            </w:r>
            <w:r>
              <w:br/>
            </w:r>
            <w:r>
              <w:t xml:space="preserve">Comprehensive desktop study and site reconnaissance for the proposed development site in London. Included historical land use analysis, review of Ordnance Survey maps, and identification of potential contamination sources in accordance with BS 10175 standards.</w:t>
            </w:r>
          </w:p>
        </w:tc>
        <w:tc>
          <w:tcPr/>
          <w:p>
            <w:pPr>
              <w:pStyle w:val="Compact"/>
              <w:jc w:val="left"/>
            </w:pPr>
            <w:r>
              <w:t xml:space="preserve">12.0</w:t>
            </w:r>
          </w:p>
        </w:tc>
        <w:tc>
          <w:tcPr/>
          <w:p>
            <w:pPr>
              <w:pStyle w:val="Compact"/>
              <w:jc w:val="left"/>
            </w:pPr>
            <w:r>
              <w:t xml:space="preserve">175.00</w:t>
            </w:r>
          </w:p>
        </w:tc>
        <w:tc>
          <w:tcPr/>
          <w:p>
            <w:pPr>
              <w:pStyle w:val="Compact"/>
              <w:jc w:val="left"/>
            </w:pPr>
            <w:r>
              <w:t xml:space="preserve">2,100.00</w:t>
            </w:r>
          </w:p>
        </w:tc>
      </w:tr>
      <w:tr>
        <w:tc>
          <w:tcPr/>
          <w:p>
            <w:pPr>
              <w:pStyle w:val="Compact"/>
              <w:jc w:val="left"/>
            </w:pPr>
            <w:r>
              <w:t xml:space="preserve">2</w:t>
            </w:r>
          </w:p>
        </w:tc>
        <w:tc>
          <w:tcPr/>
          <w:p>
            <w:pPr>
              <w:pStyle w:val="Compact"/>
              <w:jc w:val="left"/>
            </w:pPr>
            <w:r>
              <w:rPr>
                <w:bCs/>
                <w:b/>
              </w:rPr>
              <w:t xml:space="preserve">Geotechnical Investigation &amp; Soil Sampling</w:t>
            </w:r>
            <w:r>
              <w:br/>
            </w:r>
            <w:r>
              <w:t xml:space="preserve">Supervision of intrusive ground investigation works. Collection of soil and groundwater samples from boreholes BH-01 to BH-05. Chain of custody management and dispatch to UKAS-accredited laboratory for analysis of heavy metals, hydrocarbons, and VOCs.</w:t>
            </w:r>
          </w:p>
        </w:tc>
        <w:tc>
          <w:tcPr/>
          <w:p>
            <w:pPr>
              <w:pStyle w:val="Compact"/>
              <w:jc w:val="left"/>
            </w:pPr>
            <w:r>
              <w:t xml:space="preserve">24.5</w:t>
            </w:r>
          </w:p>
        </w:tc>
        <w:tc>
          <w:tcPr/>
          <w:p>
            <w:pPr>
              <w:pStyle w:val="Compact"/>
              <w:jc w:val="left"/>
            </w:pPr>
            <w:r>
              <w:t xml:space="preserve">165.00</w:t>
            </w:r>
          </w:p>
        </w:tc>
        <w:tc>
          <w:tcPr/>
          <w:p>
            <w:pPr>
              <w:pStyle w:val="Compact"/>
              <w:jc w:val="left"/>
            </w:pPr>
            <w:r>
              <w:t xml:space="preserve">4,042.50</w:t>
            </w:r>
          </w:p>
        </w:tc>
      </w:tr>
      <w:tr>
        <w:tc>
          <w:tcPr/>
          <w:p>
            <w:pPr>
              <w:pStyle w:val="Compact"/>
              <w:jc w:val="left"/>
            </w:pPr>
            <w:r>
              <w:t xml:space="preserve">3</w:t>
            </w:r>
          </w:p>
        </w:tc>
        <w:tc>
          <w:tcPr/>
          <w:p>
            <w:pPr>
              <w:pStyle w:val="Compact"/>
              <w:jc w:val="left"/>
            </w:pPr>
            <w:r>
              <w:rPr>
                <w:bCs/>
                <w:b/>
              </w:rPr>
              <w:t xml:space="preserve">Contaminated Land Risk Assessment</w:t>
            </w:r>
            <w:r>
              <w:br/>
            </w:r>
            <w:r>
              <w:t xml:space="preserve">Preparation of a detailed Conceptual Site Model (CSM). Evaluation of risk pathways against the London Planning Guidance for Development on Contaminated Land. Determination of remediation targets based on the specific land use classification (Class A Residential).</w:t>
            </w:r>
          </w:p>
        </w:tc>
        <w:tc>
          <w:tcPr/>
          <w:p>
            <w:pPr>
              <w:pStyle w:val="Compact"/>
              <w:jc w:val="left"/>
            </w:pPr>
            <w:r>
              <w:t xml:space="preserve">18.0</w:t>
            </w:r>
          </w:p>
        </w:tc>
        <w:tc>
          <w:tcPr/>
          <w:p>
            <w:pPr>
              <w:pStyle w:val="Compact"/>
              <w:jc w:val="left"/>
            </w:pPr>
            <w:r>
              <w:t xml:space="preserve">185.00</w:t>
            </w:r>
          </w:p>
        </w:tc>
        <w:tc>
          <w:tcPr/>
          <w:p>
            <w:pPr>
              <w:pStyle w:val="Compact"/>
              <w:jc w:val="left"/>
            </w:pPr>
            <w:r>
              <w:t xml:space="preserve">3,330.00</w:t>
            </w:r>
          </w:p>
        </w:tc>
      </w:tr>
      <w:tr>
        <w:tc>
          <w:tcPr/>
          <w:p>
            <w:pPr>
              <w:pStyle w:val="Compact"/>
              <w:jc w:val="left"/>
            </w:pPr>
            <w:r>
              <w:t xml:space="preserve">4</w:t>
            </w:r>
          </w:p>
        </w:tc>
        <w:tc>
          <w:tcPr/>
          <w:p>
            <w:pPr>
              <w:pStyle w:val="Compact"/>
              <w:jc w:val="left"/>
            </w:pPr>
            <w:r>
              <w:rPr>
                <w:bCs/>
                <w:b/>
              </w:rPr>
              <w:t xml:space="preserve">Remediation Strategy Design</w:t>
            </w:r>
            <w:r>
              <w:br/>
            </w:r>
            <w:r>
              <w:t xml:space="preserve">Development of a technical remediation strategy including soil excavation, capping, and groundwater treatment systems. Design calculations for hydraulic retention times and selection of appropriate filtration media compliant with Environment Agency regulations.</w:t>
            </w:r>
          </w:p>
        </w:tc>
        <w:tc>
          <w:tcPr/>
          <w:p>
            <w:pPr>
              <w:pStyle w:val="Compact"/>
              <w:jc w:val="left"/>
            </w:pPr>
            <w:r>
              <w:t xml:space="preserve">30.0</w:t>
            </w:r>
          </w:p>
        </w:tc>
        <w:tc>
          <w:tcPr/>
          <w:p>
            <w:pPr>
              <w:pStyle w:val="Compact"/>
              <w:jc w:val="left"/>
            </w:pPr>
            <w:r>
              <w:t xml:space="preserve">195.00</w:t>
            </w:r>
          </w:p>
        </w:tc>
        <w:tc>
          <w:tcPr/>
          <w:p>
            <w:pPr>
              <w:pStyle w:val="Compact"/>
              <w:jc w:val="left"/>
            </w:pPr>
            <w:r>
              <w:t xml:space="preserve">5,850.00</w:t>
            </w:r>
          </w:p>
        </w:tc>
      </w:tr>
      <w:tr>
        <w:tc>
          <w:tcPr/>
          <w:p>
            <w:pPr>
              <w:pStyle w:val="Compact"/>
              <w:jc w:val="left"/>
            </w:pPr>
            <w:r>
              <w:t xml:space="preserve">5</w:t>
            </w:r>
          </w:p>
        </w:tc>
        <w:tc>
          <w:tcPr/>
          <w:p>
            <w:pPr>
              <w:pStyle w:val="Compact"/>
              <w:jc w:val="left"/>
            </w:pPr>
            <w:r>
              <w:rPr>
                <w:bCs/>
                <w:b/>
              </w:rPr>
              <w:t xml:space="preserve">Ecological Impact Assessment (EcIA)</w:t>
            </w:r>
            <w:r>
              <w:br/>
            </w:r>
            <w:r>
              <w:t xml:space="preserve">Survey of local flora and fauna to assess impact on protected species within the Greater London Authority boundaries. Recommendations for biodiversity net gain (BNG) to ensure compliance with the Environment Act 2021.</w:t>
            </w:r>
          </w:p>
        </w:tc>
        <w:tc>
          <w:tcPr/>
          <w:p>
            <w:pPr>
              <w:pStyle w:val="Compact"/>
              <w:jc w:val="left"/>
            </w:pPr>
            <w:r>
              <w:t xml:space="preserve">15.0</w:t>
            </w:r>
          </w:p>
        </w:tc>
        <w:tc>
          <w:tcPr/>
          <w:p>
            <w:pPr>
              <w:pStyle w:val="Compact"/>
              <w:jc w:val="left"/>
            </w:pPr>
            <w:r>
              <w:t xml:space="preserve">160.00</w:t>
            </w:r>
          </w:p>
        </w:tc>
        <w:tc>
          <w:tcPr/>
          <w:p>
            <w:pPr>
              <w:pStyle w:val="Compact"/>
              <w:jc w:val="left"/>
            </w:pPr>
            <w:r>
              <w:t xml:space="preserve">2,400.00</w:t>
            </w:r>
          </w:p>
        </w:tc>
      </w:tr>
      <w:tr>
        <w:tc>
          <w:tcPr/>
          <w:p>
            <w:pPr>
              <w:pStyle w:val="Compact"/>
              <w:jc w:val="left"/>
            </w:pPr>
            <w:r>
              <w:t xml:space="preserve">6</w:t>
            </w:r>
          </w:p>
        </w:tc>
        <w:tc>
          <w:tcPr/>
          <w:p>
            <w:pPr>
              <w:pStyle w:val="Compact"/>
              <w:jc w:val="left"/>
            </w:pPr>
            <w:r>
              <w:rPr>
                <w:bCs/>
                <w:b/>
              </w:rPr>
              <w:t xml:space="preserve">Regulatory Liaison &amp; Reporting</w:t>
            </w:r>
            <w:r>
              <w:br/>
            </w:r>
            <w:r>
              <w:t xml:space="preserve">Submission of preliminary findings to the Local Planning Authority (LPA). Preparation of the Environmental Statement (ES) chapter regarding pollution and waste management. Attendance at two stakeholder consultation meetings in London.</w:t>
            </w:r>
          </w:p>
        </w:tc>
        <w:tc>
          <w:tcPr/>
          <w:p>
            <w:pPr>
              <w:pStyle w:val="Compact"/>
              <w:jc w:val="left"/>
            </w:pPr>
            <w:r>
              <w:t xml:space="preserve">10.0</w:t>
            </w:r>
          </w:p>
        </w:tc>
        <w:tc>
          <w:tcPr/>
          <w:p>
            <w:pPr>
              <w:pStyle w:val="Compact"/>
              <w:jc w:val="left"/>
            </w:pPr>
            <w:r>
              <w:t xml:space="preserve">175.00</w:t>
            </w:r>
          </w:p>
        </w:tc>
        <w:tc>
          <w:tcPr/>
          <w:p>
            <w:pPr>
              <w:pStyle w:val="Compact"/>
              <w:jc w:val="left"/>
            </w:pPr>
            <w:r>
              <w:t xml:space="preserve">1,750.00</w:t>
            </w:r>
          </w:p>
        </w:tc>
      </w:tr>
    </w:tbl>
    <w:p>
      <w:pPr>
        <w:pStyle w:val="BodyText"/>
      </w:pPr>
      <w:r>
        <w:t xml:space="preserve">Subtotal:</w:t>
      </w:r>
      <w:r>
        <w:t xml:space="preserve"> </w:t>
      </w:r>
      <w:r>
        <w:t xml:space="preserve">£19,472.50</w:t>
      </w:r>
    </w:p>
    <w:p>
      <w:pPr>
        <w:pStyle w:val="BodyText"/>
      </w:pPr>
      <w:r>
        <w:t xml:space="preserve">VAT (20%):</w:t>
      </w:r>
      <w:r>
        <w:t xml:space="preserve"> </w:t>
      </w:r>
      <w:r>
        <w:t xml:space="preserve">£3,894.50</w:t>
      </w:r>
    </w:p>
    <w:p>
      <w:pPr>
        <w:pStyle w:val="BodyText"/>
      </w:pPr>
      <w:r>
        <w:t xml:space="preserve">TOTAL DUE:</w:t>
      </w:r>
      <w:r>
        <w:t xml:space="preserve"> </w:t>
      </w:r>
      <w:r>
        <w:t xml:space="preserve">£23,367.00</w:t>
      </w:r>
    </w:p>
    <w:bookmarkStart w:id="23" w:name="terms-and-conditions"/>
    <w:p>
      <w:pPr>
        <w:pStyle w:val="Heading4"/>
      </w:pPr>
      <w:r>
        <w:t xml:space="preserve">Terms and Conditions</w:t>
      </w:r>
    </w:p>
    <w:p>
      <w:pPr>
        <w:pStyle w:val="FirstParagraph"/>
      </w:pPr>
      <w:r>
        <w:t xml:space="preserve">1. Payment is due within 30 days of the invoice date. Late payments may incur interest charges at 4% above the Bank of England base rate.</w:t>
      </w:r>
    </w:p>
    <w:p>
      <w:pPr>
        <w:pStyle w:val="BodyText"/>
      </w:pPr>
      <w:r>
        <w:t xml:space="preserve">2. This Invoice covers professional services provided by a Chartered Environmental Engineer registered with the Institution of Environmental Management and Assessment (IEMA).</w:t>
      </w:r>
    </w:p>
    <w:p>
      <w:pPr>
        <w:pStyle w:val="BodyText"/>
      </w:pPr>
      <w:r>
        <w:t xml:space="preserve">3. All site investigations were conducted in strict adherence to Health and Safety at Work etc. Act 1974 and CDM Regulations 2015.</w:t>
      </w:r>
    </w:p>
    <w:p>
      <w:pPr>
        <w:pStyle w:val="BodyText"/>
      </w:pPr>
      <w:r>
        <w:t xml:space="preserve">4. Data protection: Personal data processed in accordance with the UK General Data Protection Regulation (UK GDPR).</w:t>
      </w:r>
    </w:p>
    <w:bookmarkEnd w:id="23"/>
    <w:bookmarkStart w:id="24" w:name="bank-transfer-details"/>
    <w:p>
      <w:pPr>
        <w:pStyle w:val="Heading4"/>
      </w:pPr>
      <w:r>
        <w:t xml:space="preserve">Bank Transfer Details</w:t>
      </w:r>
    </w:p>
    <w:p>
      <w:pPr>
        <w:pStyle w:val="FirstParagraph"/>
      </w:pPr>
      <w:r>
        <w:rPr>
          <w:bCs/>
          <w:b/>
        </w:rPr>
        <w:t xml:space="preserve">Bank Name:</w:t>
      </w:r>
      <w:r>
        <w:t xml:space="preserve"> </w:t>
      </w:r>
      <w:r>
        <w:t xml:space="preserve">Barclays Bank PLC</w:t>
      </w:r>
    </w:p>
    <w:p>
      <w:pPr>
        <w:pStyle w:val="BodyText"/>
      </w:pPr>
      <w:r>
        <w:rPr>
          <w:bCs/>
          <w:b/>
        </w:rPr>
        <w:t xml:space="preserve">Account Name:</w:t>
      </w:r>
      <w:r>
        <w:t xml:space="preserve"> </w:t>
      </w:r>
      <w:r>
        <w:t xml:space="preserve">GreenHorizon Environmental Consultants Ltd</w:t>
      </w:r>
    </w:p>
    <w:p>
      <w:pPr>
        <w:pStyle w:val="BodyText"/>
      </w:pPr>
      <w:r>
        <w:rPr>
          <w:bCs/>
          <w:b/>
        </w:rPr>
        <w:t xml:space="preserve">Sort Code:</w:t>
      </w:r>
      <w:r>
        <w:t xml:space="preserve"> </w:t>
      </w:r>
      <w:r>
        <w:t xml:space="preserve">20-00-00</w:t>
      </w:r>
    </w:p>
    <w:p>
      <w:pPr>
        <w:pStyle w:val="BodyText"/>
      </w:pPr>
      <w:r>
        <w:rPr>
          <w:bCs/>
          <w:b/>
        </w:rPr>
        <w:t xml:space="preserve">Account Number:</w:t>
      </w:r>
      <w:r>
        <w:t xml:space="preserve"> </w:t>
      </w:r>
      <w:r>
        <w:t xml:space="preserve">12345678</w:t>
      </w:r>
    </w:p>
    <w:p>
      <w:pPr>
        <w:pStyle w:val="BodyText"/>
      </w:pPr>
      <w:r>
        <w:rPr>
          <w:bCs/>
          <w:b/>
        </w:rPr>
        <w:t xml:space="preserve">IBAN:</w:t>
      </w:r>
      <w:r>
        <w:t xml:space="preserve"> </w:t>
      </w:r>
      <w:r>
        <w:t xml:space="preserve">GB29 BARC 2000 0012 3456 78</w:t>
      </w:r>
    </w:p>
    <w:p>
      <w:pPr>
        <w:pStyle w:val="BodyText"/>
      </w:pPr>
      <w:r>
        <w:rPr>
          <w:bCs/>
          <w:b/>
        </w:rPr>
        <w:t xml:space="preserve">BIC/SWIFT:</w:t>
      </w:r>
      <w:r>
        <w:t xml:space="preserve"> </w:t>
      </w:r>
      <w:r>
        <w:t xml:space="preserve">BARCGB22</w:t>
      </w:r>
    </w:p>
    <w:p>
      <w:pPr>
        <w:pStyle w:val="BodyText"/>
      </w:pPr>
      <w:r>
        <w:rPr>
          <w:bCs/>
          <w:b/>
        </w:rPr>
        <w:t xml:space="preserve">Reference:</w:t>
      </w:r>
      <w:r>
        <w:t xml:space="preserve"> </w:t>
      </w:r>
      <w:r>
        <w:t xml:space="preserve">INV-2023-10-045</w:t>
      </w:r>
    </w:p>
    <w:bookmarkEnd w:id="24"/>
    <w:p>
      <w:pPr>
        <w:pStyle w:val="BodyText"/>
      </w:pPr>
      <w:r>
        <w:rPr>
          <w:bCs/>
          <w:b/>
        </w:rPr>
        <w:t xml:space="preserve">Authorized Signature:</w:t>
      </w:r>
    </w:p>
    <w:p>
      <w:pPr>
        <w:pStyle w:val="BodyText"/>
      </w:pPr>
      <w:r>
        <w:t xml:space="preserve">Sarah Jenkins</w:t>
      </w:r>
    </w:p>
    <w:p>
      <w:pPr>
        <w:pStyle w:val="BodyText"/>
      </w:pPr>
      <w:r>
        <w:t xml:space="preserve">Sarah Jenkins, MSc, CEnv, MIEMA</w:t>
      </w:r>
    </w:p>
    <w:p>
      <w:pPr>
        <w:pStyle w:val="BodyText"/>
      </w:pPr>
      <w:r>
        <w:t xml:space="preserve">Lead Environmental Engineer</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2026-10-10T04:40:39Z</dcterms:created>
  <dcterms:modified xsi:type="dcterms:W3CDTF">2026-10-10T04:40:39Z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