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t xml:space="preserve">1200 Wilshire Blvd, Suite 450</w:t>
      </w:r>
    </w:p>
    <w:p>
      <w:pPr>
        <w:pStyle w:val="BodyText"/>
      </w:pPr>
      <w:r>
        <w:t xml:space="preserve">Los Angeles, CA 90017</w:t>
      </w:r>
    </w:p>
    <w:p>
      <w:pPr>
        <w:pStyle w:val="BodyText"/>
      </w:pPr>
      <w:r>
        <w:t xml:space="preserve">United States</w:t>
      </w:r>
    </w:p>
    <w:p>
      <w:pPr>
        <w:pStyle w:val="BodyText"/>
      </w:pPr>
      <w:r>
        <w:t xml:space="preserve">Phone: (213) 555-0198</w:t>
      </w:r>
    </w:p>
    <w:p>
      <w:pPr>
        <w:pStyle w:val="BodyText"/>
      </w:pPr>
      <w:r>
        <w:t xml:space="preserve">Email: billing@greenhorizon-env.com</w:t>
      </w:r>
    </w:p>
    <w:p>
      <w:pPr>
        <w:pStyle w:val="BodyText"/>
      </w:pPr>
      <w:r>
        <w:t xml:space="preserve">License No.: C-36/ENV-88210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w:t>
      </w:r>
      <w:r>
        <w:t xml:space="preserve"> </w:t>
      </w:r>
      <w:r>
        <w:t xml:space="preserve">Downtown LA Remediation &amp; Compliance</w:t>
      </w:r>
    </w:p>
    <w:bookmarkEnd w:id="21"/>
    <w:bookmarkStart w:id="22" w:name="bill-to"/>
    <w:p>
      <w:pPr>
        <w:pStyle w:val="Heading3"/>
      </w:pPr>
      <w:r>
        <w:t xml:space="preserve">Bill To:</w:t>
      </w:r>
    </w:p>
    <w:p>
      <w:pPr>
        <w:pStyle w:val="FirstParagraph"/>
      </w:pPr>
      <w:r>
        <w:rPr>
          <w:bCs/>
          <w:b/>
        </w:rPr>
        <w:t xml:space="preserve">Apex Commercial Development Group</w:t>
      </w:r>
    </w:p>
    <w:p>
      <w:pPr>
        <w:pStyle w:val="BodyText"/>
      </w:pPr>
      <w:r>
        <w:t xml:space="preserve">Attn: Mr. Robert Sterling, Director of Operations</w:t>
      </w:r>
    </w:p>
    <w:p>
      <w:pPr>
        <w:pStyle w:val="BodyText"/>
      </w:pPr>
      <w:r>
        <w:t xml:space="preserve">888 South Grand Avenue</w:t>
      </w:r>
    </w:p>
    <w:p>
      <w:pPr>
        <w:pStyle w:val="BodyText"/>
      </w:pPr>
      <w:r>
        <w:t xml:space="preserve">Los Angeles, CA 90015</w:t>
      </w:r>
    </w:p>
    <w:p>
      <w:pPr>
        <w:pStyle w:val="BodyText"/>
      </w:pPr>
      <w:r>
        <w:t xml:space="preserve">United States</w:t>
      </w:r>
    </w:p>
    <w:p>
      <w:pPr>
        <w:pStyle w:val="BodyText"/>
      </w:pPr>
      <w:r>
        <w:t xml:space="preserve">Tax ID: 95-4421098</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historical research and site reconnaissance for the subject property located in downtown Los Angeles. This service includes review of federal and state environmental databases, analysis of Sanborn Fire Insurance Maps, and identification of Recognized Environmental Conditions (RECs) in accordance with ASTM E1527-21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Vapor Intrusion Assessment</w:t>
            </w:r>
            <w:r>
              <w:br/>
            </w:r>
            <w:r>
              <w:t xml:space="preserve">Deployment and monitoring of soil gas probes to evaluate potential vapor intrusion pathways from subsurface petroleum hydrocarbons into the building structure. Analysis conducted per California Department of Toxic Substances Control (DTSC) guidance documents. Includes laboratory analysis of VOCs and semi-volatile organic compounds.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rPr>
                <w:bCs/>
                <w:b/>
              </w:rPr>
              <w:t xml:space="preserve">Stormwater Pollution Prevention Plan (SWPPP) Development</w:t>
            </w:r>
            <w:r>
              <w:br/>
            </w:r>
            <w:r>
              <w:t xml:space="preserve">Preparation of a site-specific SWPPP compliant with the Los Angeles Regional Water Quality Control Board (LARWQCB) requirements and the California Construction General Permit. Includes erosion and sediment control measures, construction best management practices (BMPs), and spill prevention protocols tailored for urban construction sites in Los Angeles.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rPr>
                <w:bCs/>
                <w:b/>
              </w:rPr>
              <w:t xml:space="preserve">Asbestos and Lead-Based Paint Survey</w:t>
            </w:r>
            <w:r>
              <w:br/>
            </w:r>
            <w:r>
              <w:t xml:space="preserve">Detailed inspection of existing building materials for the presence of asbestos-containing materials (ACM) and lead-based paint (LBP) prior to renovation. Sampling and analysis performed by certified laboratories. Report includes abatement recommendations and regulatory compliance strategies under California Health and Safety Code.</w:t>
            </w:r>
          </w:p>
        </w:tc>
        <w:tc>
          <w:tcPr/>
          <w:p>
            <w:pPr>
              <w:pStyle w:val="Compact"/>
              <w:jc w:val="left"/>
            </w:pPr>
            <w:r>
              <w:t xml:space="preserve">1</w:t>
            </w:r>
          </w:p>
        </w:tc>
        <w:tc>
          <w:tcPr/>
          <w:p>
            <w:pPr>
              <w:pStyle w:val="Compact"/>
              <w:jc w:val="left"/>
            </w:pPr>
            <w:r>
              <w:t xml:space="preserve">$5,100.00</w:t>
            </w:r>
          </w:p>
        </w:tc>
        <w:tc>
          <w:tcPr/>
          <w:p>
            <w:pPr>
              <w:pStyle w:val="Compact"/>
              <w:jc w:val="left"/>
            </w:pPr>
            <w:r>
              <w:t xml:space="preserve">$5,100.00</w:t>
            </w:r>
          </w:p>
        </w:tc>
      </w:tr>
      <w:tr>
        <w:tc>
          <w:tcPr/>
          <w:p>
            <w:pPr>
              <w:pStyle w:val="Compact"/>
              <w:jc w:val="left"/>
            </w:pPr>
            <w:r>
              <w:t xml:space="preserve">5</w:t>
            </w:r>
          </w:p>
        </w:tc>
        <w:tc>
          <w:tcPr/>
          <w:p>
            <w:pPr>
              <w:pStyle w:val="Compact"/>
              <w:jc w:val="left"/>
            </w:pPr>
            <w:r>
              <w:rPr>
                <w:bCs/>
                <w:b/>
              </w:rPr>
              <w:t xml:space="preserve">Environmental Consulting &amp; Regulatory Liaison</w:t>
            </w:r>
            <w:r>
              <w:br/>
            </w:r>
            <w:r>
              <w:t xml:space="preserve">Professional hours dedicated to coordinating with the Los Angeles Department of Building and Safety (LADBS) and the Los Angeles County Department of Public Works. Includes preparation of permit applications, response to regulatory comments, and technical review of remediation plans.</w:t>
            </w:r>
          </w:p>
        </w:tc>
        <w:tc>
          <w:tcPr/>
          <w:p>
            <w:pPr>
              <w:pStyle w:val="Compact"/>
              <w:jc w:val="left"/>
            </w:pPr>
            <w:r>
              <w:t xml:space="preserve">45 hrs</w:t>
            </w:r>
          </w:p>
        </w:tc>
        <w:tc>
          <w:tcPr/>
          <w:p>
            <w:pPr>
              <w:pStyle w:val="Compact"/>
              <w:jc w:val="left"/>
            </w:pPr>
            <w:r>
              <w:t xml:space="preserve">$185.00/hr</w:t>
            </w:r>
          </w:p>
        </w:tc>
        <w:tc>
          <w:tcPr/>
          <w:p>
            <w:pPr>
              <w:pStyle w:val="Compact"/>
              <w:jc w:val="left"/>
            </w:pPr>
            <w:r>
              <w:t xml:space="preserve">$8,325.00</w:t>
            </w:r>
          </w:p>
        </w:tc>
      </w:tr>
      <w:tr>
        <w:tc>
          <w:tcPr/>
          <w:p>
            <w:pPr>
              <w:pStyle w:val="Compact"/>
              <w:jc w:val="left"/>
            </w:pPr>
            <w:r>
              <w:t xml:space="preserve">6</w:t>
            </w:r>
          </w:p>
        </w:tc>
        <w:tc>
          <w:tcPr/>
          <w:p>
            <w:pPr>
              <w:pStyle w:val="Compact"/>
              <w:jc w:val="left"/>
            </w:pPr>
            <w:r>
              <w:rPr>
                <w:bCs/>
                <w:b/>
              </w:rPr>
              <w:t xml:space="preserve">Site Remediation Design Services</w:t>
            </w:r>
            <w:r>
              <w:br/>
            </w:r>
            <w:r>
              <w:t xml:space="preserve">Engineering design for the removal and off-site disposal of contaminated soil identified during preliminary investigations. Includes selection of appropriate treatment technologies, waste characterization, and preparation of a Health and Safety Plan (HASP) for remediation contractors.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rPr>
                <w:bCs/>
                <w:b/>
              </w:rPr>
              <w:t xml:space="preserve">Third-Party Laboratory Analysis Fees</w:t>
            </w:r>
            <w:r>
              <w:br/>
            </w:r>
            <w:r>
              <w:t xml:space="preserve">Reimbursable costs for soil, groundwater, and air quality testing conducted by accredited laboratories. Includes chain-of-custody documentation and detailed analytical reports required for regulatory submission in the State of California.</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bl>
    <w:p>
      <w:pPr>
        <w:pStyle w:val="BodyText"/>
      </w:pPr>
      <w:r>
        <w:t xml:space="preserve">Subtotal:</w:t>
      </w:r>
      <w:r>
        <w:t xml:space="preserve"> </w:t>
      </w:r>
      <w:r>
        <w:t xml:space="preserve">$38,375.00</w:t>
      </w:r>
    </w:p>
    <w:p>
      <w:pPr>
        <w:pStyle w:val="BodyText"/>
      </w:pPr>
      <w:r>
        <w:t xml:space="preserve">California Sales Tax (8.75%):</w:t>
      </w:r>
      <w:r>
        <w:t xml:space="preserve"> </w:t>
      </w:r>
      <w:r>
        <w:t xml:space="preserve">$3,357.81</w:t>
      </w:r>
    </w:p>
    <w:p>
      <w:pPr>
        <w:pStyle w:val="BodyText"/>
      </w:pPr>
      <w:r>
        <w:t xml:space="preserve">Total Due:</w:t>
      </w:r>
      <w:r>
        <w:t xml:space="preserve"> </w:t>
      </w:r>
      <w:r>
        <w:t xml:space="preserve">$41,732.81</w:t>
      </w:r>
    </w:p>
    <w:bookmarkStart w:id="23" w:name="payment-terms-conditions"/>
    <w:p>
      <w:pPr>
        <w:pStyle w:val="Heading4"/>
      </w:pPr>
      <w:r>
        <w:t xml:space="preserve">Payment Terms &amp; Conditions:</w:t>
      </w:r>
    </w:p>
    <w:p>
      <w:pPr>
        <w:pStyle w:val="FirstParagraph"/>
      </w:pPr>
      <w:r>
        <w:t xml:space="preserve">Payment is due within 30 days of the invoice date. Please make checks payable to "GreenHorizon Environmental Solutions" and mail to the address listed above. For electronic payments, please contact our accounts receivable department for wire transfer details.</w:t>
      </w:r>
    </w:p>
    <w:p>
      <w:pPr>
        <w:pStyle w:val="BodyText"/>
      </w:pPr>
      <w:r>
        <w:t xml:space="preserve">Late payments will incur a finance charge of 1.5% per month on the outstanding balance. All services provided are subject to the standard terms and conditions outlined in our professional services agreement dated September 15, 2023.</w:t>
      </w:r>
    </w:p>
    <w:p>
      <w:pPr>
        <w:pStyle w:val="BodyText"/>
      </w:pPr>
      <w:r>
        <w:t xml:space="preserve">This Invoice reflects professional services rendered by licensed Environmental Engineers and Geologists in compliance with the California Business and Professions Code. All technical data and reports generated are the intellectual property of GreenHorizon Environmental Solutions until full payment is received.</w:t>
      </w:r>
    </w:p>
    <w:bookmarkEnd w:id="23"/>
    <w:p>
      <w:pPr>
        <w:pStyle w:val="BodyText"/>
      </w:pPr>
      <w:r>
        <w:t xml:space="preserve">Authorized Signature (Client)</w:t>
      </w:r>
      <w:r>
        <w:br/>
      </w:r>
      <w:r>
        <w:t xml:space="preserve">Date: _______________</w:t>
      </w:r>
    </w:p>
    <w:p>
      <w:pPr>
        <w:pStyle w:val="BodyText"/>
      </w:pPr>
      <w:r>
        <w:t xml:space="preserve">Authorized Signature (Provider)</w:t>
      </w:r>
      <w:r>
        <w:br/>
      </w:r>
      <w:r>
        <w:t xml:space="preserve">Dr. Elena Rodriguez, P.E.</w:t>
      </w:r>
      <w:r>
        <w:br/>
      </w:r>
      <w:r>
        <w:t xml:space="preserve">Senior Environmental Engineer</w:t>
      </w:r>
    </w:p>
    <w:p>
      <w:pPr>
        <w:pStyle w:val="BodyText"/>
      </w:pPr>
      <w:r>
        <w:t xml:space="preserve">GreenHorizon Environmental Solutions | 1200 Wilshire Blvd, Suite 450, Los Angeles, CA 90017, United States</w:t>
      </w:r>
    </w:p>
    <w:p>
      <w:pPr>
        <w:pStyle w:val="BodyText"/>
      </w:pPr>
      <w:r>
        <w:t xml:space="preserve">Thank you for your business. We are committed to sustainable environmental solutions for the Los Angeles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2026-10-10T04:13:22Z</dcterms:created>
  <dcterms:modified xsi:type="dcterms:W3CDTF">2026-10-10T04:13:22Z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