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Environmental</w:t>
      </w:r>
      <w:r>
        <w:t xml:space="preserve"> </w:t>
      </w:r>
      <w:r>
        <w:t xml:space="preserve">Engineering</w:t>
      </w:r>
      <w:r>
        <w:t xml:space="preserve"> </w:t>
      </w:r>
      <w:r>
        <w:t xml:space="preserve">Services</w:t>
      </w:r>
    </w:p>
    <w:bookmarkStart w:id="20" w:name="empire-state-environmental-solutions"/>
    <w:p>
      <w:pPr>
        <w:pStyle w:val="Heading1"/>
      </w:pPr>
      <w:r>
        <w:t xml:space="preserve">Empire State Environmental Solutions</w:t>
      </w:r>
    </w:p>
    <w:p>
      <w:pPr>
        <w:pStyle w:val="FirstParagraph"/>
      </w:pPr>
      <w:r>
        <w:t xml:space="preserve">123 Hudson Street, Suite 400</w:t>
      </w:r>
    </w:p>
    <w:p>
      <w:pPr>
        <w:pStyle w:val="BodyText"/>
      </w:pPr>
      <w:r>
        <w:t xml:space="preserve">New York, NY 10013</w:t>
      </w:r>
    </w:p>
    <w:p>
      <w:pPr>
        <w:pStyle w:val="BodyText"/>
      </w:pPr>
      <w:r>
        <w:t xml:space="preserve">United States</w:t>
      </w:r>
    </w:p>
    <w:p>
      <w:pPr>
        <w:pStyle w:val="BodyText"/>
      </w:pPr>
      <w:r>
        <w:t xml:space="preserve">Phone: (212) 555-0199</w:t>
      </w:r>
    </w:p>
    <w:p>
      <w:pPr>
        <w:pStyle w:val="BodyText"/>
      </w:pPr>
      <w:r>
        <w:t xml:space="preserve">Email: billing@empirestateenviro.com</w:t>
      </w:r>
    </w:p>
    <w:p>
      <w:pPr>
        <w:pStyle w:val="BodyText"/>
      </w:pPr>
      <w:r>
        <w:t xml:space="preserve">NY State License #ENV-8842-NY</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INV-2023-10-45</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Payment Terms:</w:t>
      </w:r>
      <w:r>
        <w:t xml:space="preserve"> </w:t>
      </w:r>
      <w:r>
        <w:t xml:space="preserve">Net 30</w:t>
      </w:r>
    </w:p>
    <w:bookmarkEnd w:id="21"/>
    <w:bookmarkStart w:id="22" w:name="bill-to"/>
    <w:p>
      <w:pPr>
        <w:pStyle w:val="Heading3"/>
      </w:pPr>
      <w:r>
        <w:t xml:space="preserve">Bill To</w:t>
      </w:r>
    </w:p>
    <w:p>
      <w:pPr>
        <w:pStyle w:val="FirstParagraph"/>
      </w:pPr>
      <w:r>
        <w:rPr>
          <w:bCs/>
          <w:b/>
        </w:rPr>
        <w:t xml:space="preserve">Manhattan Development Group LLC</w:t>
      </w:r>
    </w:p>
    <w:p>
      <w:pPr>
        <w:pStyle w:val="BodyText"/>
      </w:pPr>
      <w:r>
        <w:t xml:space="preserve">Attn: Procurement Department</w:t>
      </w:r>
    </w:p>
    <w:p>
      <w:pPr>
        <w:pStyle w:val="BodyText"/>
      </w:pPr>
      <w:r>
        <w:t xml:space="preserve">450 Park Avenue South</w:t>
      </w:r>
    </w:p>
    <w:p>
      <w:pPr>
        <w:pStyle w:val="BodyText"/>
      </w:pPr>
      <w:r>
        <w:t xml:space="preserve">New York, NY 10016</w:t>
      </w:r>
    </w:p>
    <w:p>
      <w:pPr>
        <w:pStyle w:val="BodyText"/>
      </w:pPr>
      <w:r>
        <w:t xml:space="preserve">United States</w:t>
      </w:r>
    </w:p>
    <w:bookmarkEnd w:id="22"/>
    <w:bookmarkStart w:id="23" w:name="project-details"/>
    <w:p>
      <w:pPr>
        <w:pStyle w:val="Heading3"/>
      </w:pPr>
      <w:r>
        <w:t xml:space="preserve">Project Details</w:t>
      </w:r>
    </w:p>
    <w:p>
      <w:pPr>
        <w:pStyle w:val="FirstParagraph"/>
      </w:pPr>
      <w:r>
        <w:rPr>
          <w:bCs/>
          <w:b/>
        </w:rPr>
        <w:t xml:space="preserve">Project Name:</w:t>
      </w:r>
      <w:r>
        <w:t xml:space="preserve"> </w:t>
      </w:r>
      <w:r>
        <w:t xml:space="preserve">Hudson Yards Remediation Phase II</w:t>
      </w:r>
    </w:p>
    <w:p>
      <w:pPr>
        <w:pStyle w:val="BodyText"/>
      </w:pPr>
      <w:r>
        <w:rPr>
          <w:bCs/>
          <w:b/>
        </w:rPr>
        <w:t xml:space="preserve">Project ID:</w:t>
      </w:r>
      <w:r>
        <w:t xml:space="preserve"> </w:t>
      </w:r>
      <w:r>
        <w:t xml:space="preserve">HY-REM-2023-B</w:t>
      </w:r>
    </w:p>
    <w:p>
      <w:pPr>
        <w:pStyle w:val="BodyText"/>
      </w:pPr>
      <w:r>
        <w:rPr>
          <w:bCs/>
          <w:b/>
        </w:rPr>
        <w:t xml:space="preserve">Location:</w:t>
      </w:r>
      <w:r>
        <w:t xml:space="preserve"> </w:t>
      </w:r>
      <w:r>
        <w:t xml:space="preserve">West Side, Manhattan, NY</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Environmental Engineering Services</w:t>
            </w:r>
          </w:p>
        </w:tc>
        <w:tc>
          <w:tcPr/>
          <w:p>
            <w:pPr>
              <w:pStyle w:val="Compact"/>
              <w:jc w:val="left"/>
            </w:pPr>
            <w:r>
              <w:t xml:space="preserve">Hours / Units</w:t>
            </w:r>
          </w:p>
        </w:tc>
        <w:tc>
          <w:tcPr/>
          <w:p>
            <w:pPr>
              <w:pStyle w:val="Compact"/>
              <w:jc w:val="left"/>
            </w:pPr>
            <w:r>
              <w:t xml:space="preserve">Rate / Unit Price</w:t>
            </w:r>
          </w:p>
        </w:tc>
        <w:tc>
          <w:tcPr/>
          <w:p>
            <w:pPr>
              <w:pStyle w:val="Compact"/>
              <w:jc w:val="left"/>
            </w:pPr>
            <w:r>
              <w:t xml:space="preserve">Amount (USD)</w:t>
            </w:r>
          </w:p>
        </w:tc>
      </w:tr>
      <w:tr>
        <w:tc>
          <w:tcPr/>
          <w:p>
            <w:pPr>
              <w:pStyle w:val="Compact"/>
              <w:jc w:val="left"/>
            </w:pPr>
            <w:r>
              <w:t xml:space="preserve">1</w:t>
            </w:r>
          </w:p>
        </w:tc>
        <w:tc>
          <w:tcPr/>
          <w:p>
            <w:pPr>
              <w:pStyle w:val="Compact"/>
              <w:jc w:val="left"/>
            </w:pPr>
            <w:r>
              <w:rPr>
                <w:bCs/>
                <w:b/>
              </w:rPr>
              <w:t xml:space="preserve">Phase II Environmental Site Assessment (ESA)</w:t>
            </w:r>
            <w:r>
              <w:br/>
            </w:r>
            <w:r>
              <w:t xml:space="preserve">Comprehensive subsurface investigation conducted in strict accordance with ASTM E1527-21 standards. This service involved the drilling of five (5) boreholes to a depth of 30 feet below grade to assess soil contamination levels. Sampling protocols adhered to New York State Department of Environmental Conservation (NYSDEC) guidelines.</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2</w:t>
            </w:r>
          </w:p>
        </w:tc>
        <w:tc>
          <w:tcPr/>
          <w:p>
            <w:pPr>
              <w:pStyle w:val="Compact"/>
              <w:jc w:val="left"/>
            </w:pPr>
            <w:r>
              <w:rPr>
                <w:bCs/>
                <w:b/>
              </w:rPr>
              <w:t xml:space="preserve">Groundwater Monitoring Well Installation</w:t>
            </w:r>
            <w:r>
              <w:br/>
            </w:r>
            <w:r>
              <w:t xml:space="preserve">Design and installation of three (3) permanent monitoring wells to track the migration of volatile organic compounds (VOCs). Includes geologic logging, well development, and initial baseline sampling. All work performed by licensed Environmental Engineers to ensure compliance with NYC Department of Environmental Protection (DEP) regulations.</w:t>
            </w:r>
          </w:p>
        </w:tc>
        <w:tc>
          <w:tcPr/>
          <w:p>
            <w:pPr>
              <w:pStyle w:val="Compact"/>
              <w:jc w:val="left"/>
            </w:pPr>
            <w:r>
              <w:t xml:space="preserve">3</w:t>
            </w:r>
          </w:p>
        </w:tc>
        <w:tc>
          <w:tcPr/>
          <w:p>
            <w:pPr>
              <w:pStyle w:val="Compact"/>
              <w:jc w:val="left"/>
            </w:pPr>
            <w:r>
              <w:t xml:space="preserve">$4,200.00</w:t>
            </w:r>
          </w:p>
        </w:tc>
        <w:tc>
          <w:tcPr/>
          <w:p>
            <w:pPr>
              <w:pStyle w:val="Compact"/>
              <w:jc w:val="left"/>
            </w:pPr>
            <w:r>
              <w:t xml:space="preserve">$12,600.00</w:t>
            </w:r>
          </w:p>
        </w:tc>
      </w:tr>
      <w:tr>
        <w:tc>
          <w:tcPr/>
          <w:p>
            <w:pPr>
              <w:pStyle w:val="Compact"/>
              <w:jc w:val="left"/>
            </w:pPr>
            <w:r>
              <w:t xml:space="preserve">3</w:t>
            </w:r>
          </w:p>
        </w:tc>
        <w:tc>
          <w:tcPr/>
          <w:p>
            <w:pPr>
              <w:pStyle w:val="Compact"/>
              <w:jc w:val="left"/>
            </w:pPr>
            <w:r>
              <w:rPr>
                <w:bCs/>
                <w:b/>
              </w:rPr>
              <w:t xml:space="preserve">Remediation Strategy Development</w:t>
            </w:r>
            <w:r>
              <w:br/>
            </w:r>
            <w:r>
              <w:t xml:space="preserve">Consultation and engineering design for a soil vapor extraction (SVE) system. This includes hydraulic modeling, equipment specification, and the preparation of a Remedial Action Plan (RAP) for submission to the NYSDEC. The strategy focuses on mitigating risk to future occupants of the commercial development.</w:t>
            </w:r>
          </w:p>
        </w:tc>
        <w:tc>
          <w:tcPr/>
          <w:p>
            <w:pPr>
              <w:pStyle w:val="Compact"/>
              <w:jc w:val="left"/>
            </w:pPr>
            <w:r>
              <w:t xml:space="preserve">45</w:t>
            </w:r>
          </w:p>
        </w:tc>
        <w:tc>
          <w:tcPr/>
          <w:p>
            <w:pPr>
              <w:pStyle w:val="Compact"/>
              <w:jc w:val="left"/>
            </w:pPr>
            <w:r>
              <w:t xml:space="preserve">$225.00</w:t>
            </w:r>
          </w:p>
        </w:tc>
        <w:tc>
          <w:tcPr/>
          <w:p>
            <w:pPr>
              <w:pStyle w:val="Compact"/>
              <w:jc w:val="left"/>
            </w:pPr>
            <w:r>
              <w:t xml:space="preserve">$10,125.00</w:t>
            </w:r>
          </w:p>
        </w:tc>
      </w:tr>
      <w:tr>
        <w:tc>
          <w:tcPr/>
          <w:p>
            <w:pPr>
              <w:pStyle w:val="Compact"/>
              <w:jc w:val="left"/>
            </w:pPr>
            <w:r>
              <w:t xml:space="preserve">4</w:t>
            </w:r>
          </w:p>
        </w:tc>
        <w:tc>
          <w:tcPr/>
          <w:p>
            <w:pPr>
              <w:pStyle w:val="Compact"/>
              <w:jc w:val="left"/>
            </w:pPr>
            <w:r>
              <w:rPr>
                <w:bCs/>
                <w:b/>
              </w:rPr>
              <w:t xml:space="preserve">Asbestos and Lead-Based Paint Survey</w:t>
            </w:r>
            <w:r>
              <w:br/>
            </w:r>
            <w:r>
              <w:t xml:space="preserve">Detailed inspection of existing structures slated for renovation. Analysis of bulk samples performed by an EPA-accredited laboratory. Reporting includes a comprehensive abatement plan compliant with New York City Local Law 126 and federal EPA regulations.</w:t>
            </w:r>
          </w:p>
        </w:tc>
        <w:tc>
          <w:tcPr/>
          <w:p>
            <w:pPr>
              <w:pStyle w:val="Compact"/>
              <w:jc w:val="left"/>
            </w:pPr>
            <w:r>
              <w:t xml:space="preserve">1</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5</w:t>
            </w:r>
          </w:p>
        </w:tc>
        <w:tc>
          <w:tcPr/>
          <w:p>
            <w:pPr>
              <w:pStyle w:val="Compact"/>
              <w:jc w:val="left"/>
            </w:pPr>
            <w:r>
              <w:rPr>
                <w:bCs/>
                <w:b/>
              </w:rPr>
              <w:t xml:space="preserve">Regulatory Compliance and Permitting</w:t>
            </w:r>
            <w:r>
              <w:br/>
            </w:r>
            <w:r>
              <w:t xml:space="preserve">Management of all necessary permits required for environmental work within New York City limits. Includes coordination with the NYC Department of Buildings (DOB) and filing of necessary documentation with the NYSDEC Brownfield Cleanup Program.</w:t>
            </w:r>
          </w:p>
        </w:tc>
        <w:tc>
          <w:tcPr/>
          <w:p>
            <w:pPr>
              <w:pStyle w:val="Compact"/>
              <w:jc w:val="left"/>
            </w:pPr>
            <w:r>
              <w:t xml:space="preserve">20</w:t>
            </w:r>
          </w:p>
        </w:tc>
        <w:tc>
          <w:tcPr/>
          <w:p>
            <w:pPr>
              <w:pStyle w:val="Compact"/>
              <w:jc w:val="left"/>
            </w:pPr>
            <w:r>
              <w:t xml:space="preserve">$200.00</w:t>
            </w:r>
          </w:p>
        </w:tc>
        <w:tc>
          <w:tcPr/>
          <w:p>
            <w:pPr>
              <w:pStyle w:val="Compact"/>
              <w:jc w:val="left"/>
            </w:pPr>
            <w:r>
              <w:t xml:space="preserve">$4,000.00</w:t>
            </w:r>
          </w:p>
        </w:tc>
      </w:tr>
      <w:tr>
        <w:tc>
          <w:tcPr/>
          <w:p>
            <w:pPr>
              <w:pStyle w:val="Compact"/>
              <w:jc w:val="left"/>
            </w:pPr>
            <w:r>
              <w:t xml:space="preserve">6</w:t>
            </w:r>
          </w:p>
        </w:tc>
        <w:tc>
          <w:tcPr/>
          <w:p>
            <w:pPr>
              <w:pStyle w:val="Compact"/>
              <w:jc w:val="left"/>
            </w:pPr>
            <w:r>
              <w:rPr>
                <w:bCs/>
                <w:b/>
              </w:rPr>
              <w:t xml:space="preserve">Stormwater Pollution Prevention Plan (SWPPP)</w:t>
            </w:r>
            <w:r>
              <w:br/>
            </w:r>
            <w:r>
              <w:t xml:space="preserve">Development of a site-specific SWPPP to manage runoff during construction activities. Ensures compliance with the NYC Stormwater Management Rules and the Multi-Sector General Permit (MSGP). Includes erosion and sediment control design.</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bl>
    <w:p>
      <w:pPr>
        <w:pStyle w:val="BodyText"/>
      </w:pPr>
      <w:r>
        <w:t xml:space="preserve">Subtotal:</w:t>
      </w:r>
      <w:r>
        <w:t xml:space="preserve"> </w:t>
      </w:r>
      <w:r>
        <w:t xml:space="preserve">$51,475.00</w:t>
      </w:r>
    </w:p>
    <w:p>
      <w:pPr>
        <w:pStyle w:val="BodyText"/>
      </w:pPr>
      <w:r>
        <w:t xml:space="preserve">Tax (NY State Sales Tax 8.875%):</w:t>
      </w:r>
      <w:r>
        <w:t xml:space="preserve"> </w:t>
      </w:r>
      <w:r>
        <w:t xml:space="preserve">$4,568.41</w:t>
      </w:r>
    </w:p>
    <w:p>
      <w:pPr>
        <w:pStyle w:val="BodyText"/>
      </w:pPr>
      <w:r>
        <w:t xml:space="preserve">Total Due:</w:t>
      </w:r>
      <w:r>
        <w:t xml:space="preserve"> </w:t>
      </w:r>
      <w:r>
        <w:t xml:space="preserve">$56,043.41</w:t>
      </w:r>
    </w:p>
    <w:bookmarkStart w:id="24" w:name="payment-instructions-terms"/>
    <w:p>
      <w:pPr>
        <w:pStyle w:val="Heading4"/>
      </w:pPr>
      <w:r>
        <w:t xml:space="preserve">Payment Instructions &amp; Terms</w:t>
      </w:r>
    </w:p>
    <w:p>
      <w:pPr>
        <w:pStyle w:val="FirstParagraph"/>
      </w:pPr>
      <w:r>
        <w:rPr>
          <w:bCs/>
          <w:b/>
        </w:rPr>
        <w:t xml:space="preserve">Wire Transfer:</w:t>
      </w:r>
      <w:r>
        <w:br/>
      </w:r>
      <w:r>
        <w:t xml:space="preserve">Bank: Chase Manhattan Bank</w:t>
      </w:r>
      <w:r>
        <w:br/>
      </w:r>
      <w:r>
        <w:t xml:space="preserve">Account Name: Empire State Environmental Solutions</w:t>
      </w:r>
      <w:r>
        <w:br/>
      </w:r>
      <w:r>
        <w:t xml:space="preserve">Account Number: 987654321</w:t>
      </w:r>
      <w:r>
        <w:br/>
      </w:r>
      <w:r>
        <w:t xml:space="preserve">Routing Number: 021000021</w:t>
      </w:r>
      <w:r>
        <w:br/>
      </w:r>
      <w:r>
        <w:t xml:space="preserve">Reference: Invoice INV-2023-10-45</w:t>
      </w:r>
    </w:p>
    <w:p>
      <w:pPr>
        <w:pStyle w:val="BodyText"/>
      </w:pPr>
      <w:r>
        <w:rPr>
          <w:bCs/>
          <w:b/>
        </w:rPr>
        <w:t xml:space="preserve">Check:</w:t>
      </w:r>
      <w:r>
        <w:br/>
      </w:r>
      <w:r>
        <w:t xml:space="preserve">Please make checks payable to "Empire State Environmental Solutions" and mail to the address listed in the header.</w:t>
      </w:r>
    </w:p>
    <w:p>
      <w:pPr>
        <w:pStyle w:val="BodyText"/>
      </w:pPr>
      <w:r>
        <w:rPr>
          <w:bCs/>
          <w:b/>
        </w:rPr>
        <w:t xml:space="preserve">Terms:</w:t>
      </w:r>
      <w:r>
        <w:br/>
      </w:r>
      <w:r>
        <w:t xml:space="preserve">Payment is due within 30 days of the invoice date. Late payments are subject to a finance charge of 1.5% per month on the outstanding balance. Please note that as an Environmental Engineer operating in New York City, our services are critical for maintaining regulatory compliance; delays in payment may impact the scheduling of future site visits and reporting deadlines.</w:t>
      </w:r>
    </w:p>
    <w:bookmarkEnd w:id="24"/>
    <w:p>
      <w:pPr>
        <w:pStyle w:val="BodyText"/>
      </w:pPr>
      <w:r>
        <w:t xml:space="preserve">Thank you for choosing Empire State Environmental Solutions for your environmental engineering needs in New York City.</w:t>
      </w:r>
    </w:p>
    <w:p>
      <w:pPr>
        <w:pStyle w:val="BodyText"/>
      </w:pPr>
      <w:r>
        <w:t xml:space="preserve">This Invoice is a legally binding document for services rendered in the United States.</w:t>
      </w:r>
    </w:p>
    <w:p>
      <w:pPr>
        <w:pStyle w:val="BodyText"/>
      </w:pPr>
      <w:r>
        <w:t xml:space="preserve">© 2023 Empire State Environmental Solutions.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Environmental Engineering Services</dc:title>
  <dc:creator/>
  <dc:language>en</dc:language>
  <cp:keywords/>
  <dcterms:created xsi:type="dcterms:W3CDTF">2026-10-10T07:08:46Z</dcterms:created>
  <dcterms:modified xsi:type="dcterms:W3CDTF">2026-10-10T07:08:46Z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