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Environmental</w:t>
      </w:r>
      <w:r>
        <w:t xml:space="preserve"> </w:t>
      </w:r>
      <w:r>
        <w:t xml:space="preserve">Engineering</w:t>
      </w:r>
    </w:p>
    <w:bookmarkStart w:id="20" w:name="bay-area-environmental-solutions"/>
    <w:p>
      <w:pPr>
        <w:pStyle w:val="Heading1"/>
      </w:pPr>
      <w:r>
        <w:t xml:space="preserve">Bay Area Environmental Solutions</w:t>
      </w:r>
    </w:p>
    <w:p>
      <w:pPr>
        <w:pStyle w:val="FirstParagraph"/>
      </w:pPr>
      <w:r>
        <w:t xml:space="preserve">1234 Market Street, Suite 500</w:t>
      </w:r>
    </w:p>
    <w:p>
      <w:pPr>
        <w:pStyle w:val="BodyText"/>
      </w:pPr>
      <w:r>
        <w:t xml:space="preserve">San Francisco, CA 94103</w:t>
      </w:r>
    </w:p>
    <w:p>
      <w:pPr>
        <w:pStyle w:val="BodyText"/>
      </w:pPr>
      <w:r>
        <w:t xml:space="preserve">United States</w:t>
      </w:r>
    </w:p>
    <w:p>
      <w:pPr>
        <w:pStyle w:val="BodyText"/>
      </w:pPr>
      <w:r>
        <w:t xml:space="preserve">Phone: (415) 555-0199</w:t>
      </w:r>
    </w:p>
    <w:p>
      <w:pPr>
        <w:pStyle w:val="BodyText"/>
      </w:pPr>
      <w:r>
        <w:t xml:space="preserve">Email: billing@bayareaenviro.com</w:t>
      </w:r>
    </w:p>
    <w:p>
      <w:pPr>
        <w:pStyle w:val="BodyText"/>
      </w:pPr>
      <w:r>
        <w:t xml:space="preserve">License No.: C-38-987654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SF-REMEDIATION-2023-A</w:t>
      </w:r>
    </w:p>
    <w:bookmarkEnd w:id="21"/>
    <w:bookmarkStart w:id="22" w:name="bill-to"/>
    <w:p>
      <w:pPr>
        <w:pStyle w:val="Heading3"/>
      </w:pPr>
      <w:r>
        <w:t xml:space="preserve">Bill To:</w:t>
      </w:r>
    </w:p>
    <w:p>
      <w:pPr>
        <w:pStyle w:val="FirstParagraph"/>
      </w:pPr>
      <w:r>
        <w:rPr>
          <w:bCs/>
          <w:b/>
        </w:rPr>
        <w:t xml:space="preserve">Golden Gate Development Group</w:t>
      </w:r>
    </w:p>
    <w:p>
      <w:pPr>
        <w:pStyle w:val="BodyText"/>
      </w:pPr>
      <w:r>
        <w:t xml:space="preserve">Attn: Procurement Department</w:t>
      </w:r>
    </w:p>
    <w:p>
      <w:pPr>
        <w:pStyle w:val="BodyText"/>
      </w:pPr>
      <w:r>
        <w:t xml:space="preserve">555 Montgomery Street, Floor 12</w:t>
      </w:r>
    </w:p>
    <w:p>
      <w:pPr>
        <w:pStyle w:val="BodyText"/>
      </w:pPr>
      <w:r>
        <w:t xml:space="preserve">San Francisco, CA 94111</w:t>
      </w:r>
    </w:p>
    <w:p>
      <w:pPr>
        <w:pStyle w:val="BodyText"/>
      </w:pPr>
      <w:r>
        <w:t xml:space="preserve">United States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Phase I Environmental Site Assessment (ESA)</w:t>
            </w:r>
            <w:r>
              <w:br/>
            </w:r>
            <w:r>
              <w:t xml:space="preserve">Comprehensive desktop study and site reconnaissance for the property located at 789 Howard Street, San Francisco, CA. Services included historical research of land use, review of federal and state environmental databases, and identification of Recognized Environmental Conditions (RECs) in accordance with ASTM E1527-21 standards.</w:t>
            </w:r>
          </w:p>
        </w:tc>
        <w:tc>
          <w:tcPr/>
          <w:p>
            <w:pPr>
              <w:pStyle w:val="Compact"/>
              <w:jc w:val="left"/>
            </w:pPr>
            <w:r>
              <w:t xml:space="preserve">40.0</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2</w:t>
            </w:r>
          </w:p>
        </w:tc>
        <w:tc>
          <w:tcPr/>
          <w:p>
            <w:pPr>
              <w:pStyle w:val="Compact"/>
              <w:jc w:val="left"/>
            </w:pPr>
            <w:r>
              <w:rPr>
                <w:bCs/>
                <w:b/>
              </w:rPr>
              <w:t xml:space="preserve">Soil Vapor Intrusion Investigation</w:t>
            </w:r>
            <w:r>
              <w:br/>
            </w:r>
            <w:r>
              <w:t xml:space="preserve">Field sampling and laboratory analysis coordination to assess potential vapor intrusion risks from subsurface petroleum hydrocarbons. Included installation of three temporary soil vapor probes, collection of indoor and outdoor air samples, and interpretation of results against California Department of Toxic Substances Control (DTSC) screening levels.</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Asbestos and Lead-Based Paint Survey</w:t>
            </w:r>
            <w:r>
              <w:br/>
            </w:r>
            <w:r>
              <w:t xml:space="preserve">Pre-demolition survey required by San Francisco Department of Building Inspection (SFDBI). Visual inspection of building materials, bulk sampling of suspect materials, and preparation of the Asbestos Survey Report and Lead-Based Paint Report for regulatory submission.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Stormwater Pollution Prevention Plan (SWPPP) Update</w:t>
            </w:r>
            <w:r>
              <w:br/>
            </w:r>
            <w:r>
              <w:t xml:space="preserve">Revision of existing SWPPP to comply with the National Pollutant Discharge Elimination System (NPDES) General Permit for Construction Activities. Included site-specific erosion and sediment control measures tailored to the steep topography of the San Francisco site.</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Regulatory Permitting Support</w:t>
            </w:r>
            <w:r>
              <w:br/>
            </w:r>
            <w:r>
              <w:t xml:space="preserve">Preparation and submission of the Notice of Intent (NOI) to the State Water Resources Control Board and coordination with the San Francisco Public Utilities Commission (SFPUC) regarding underground storage tank closure requirements.</w:t>
            </w:r>
          </w:p>
        </w:tc>
        <w:tc>
          <w:tcPr/>
          <w:p>
            <w:pPr>
              <w:pStyle w:val="Compact"/>
              <w:jc w:val="left"/>
            </w:pPr>
            <w:r>
              <w:t xml:space="preserve">10.0</w:t>
            </w:r>
          </w:p>
        </w:tc>
        <w:tc>
          <w:tcPr/>
          <w:p>
            <w:pPr>
              <w:pStyle w:val="Compact"/>
              <w:jc w:val="left"/>
            </w:pPr>
            <w:r>
              <w:t xml:space="preserve">$225.00</w:t>
            </w:r>
          </w:p>
        </w:tc>
        <w:tc>
          <w:tcPr/>
          <w:p>
            <w:pPr>
              <w:pStyle w:val="Compact"/>
              <w:jc w:val="left"/>
            </w:pPr>
            <w:r>
              <w:t xml:space="preserve">$2,250.00</w:t>
            </w:r>
          </w:p>
        </w:tc>
      </w:tr>
      <w:tr>
        <w:tc>
          <w:tcPr/>
          <w:p>
            <w:pPr>
              <w:pStyle w:val="Compact"/>
              <w:jc w:val="left"/>
            </w:pPr>
            <w:r>
              <w:t xml:space="preserve">6</w:t>
            </w:r>
          </w:p>
        </w:tc>
        <w:tc>
          <w:tcPr/>
          <w:p>
            <w:pPr>
              <w:pStyle w:val="Compact"/>
              <w:jc w:val="left"/>
            </w:pPr>
            <w:r>
              <w:rPr>
                <w:bCs/>
                <w:b/>
              </w:rPr>
              <w:t xml:space="preserve">Third-Party Laboratory Fees</w:t>
            </w:r>
            <w:r>
              <w:br/>
            </w:r>
            <w:r>
              <w:t xml:space="preserve">Reimbursable costs for soil and groundwater analysis (VOCs, SVOCs, Metals, TPH) conducted by an accredited laboratory. Includes chain of custody documentation and certification of results.</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bl>
    <w:p>
      <w:pPr>
        <w:pStyle w:val="BodyText"/>
      </w:pPr>
      <w:r>
        <w:t xml:space="preserve">Subtotal:</w:t>
      </w:r>
      <w:r>
        <w:t xml:space="preserve"> </w:t>
      </w:r>
      <w:r>
        <w:t xml:space="preserve">$28,850.00</w:t>
      </w:r>
    </w:p>
    <w:p>
      <w:pPr>
        <w:pStyle w:val="BodyText"/>
      </w:pPr>
      <w:r>
        <w:t xml:space="preserve">Tax (CA Sales Tax 8.5%):</w:t>
      </w:r>
      <w:r>
        <w:t xml:space="preserve"> </w:t>
      </w:r>
      <w:r>
        <w:t xml:space="preserve">$2,452.25</w:t>
      </w:r>
    </w:p>
    <w:p>
      <w:pPr>
        <w:pStyle w:val="BodyText"/>
      </w:pPr>
      <w:r>
        <w:t xml:space="preserve">Total Due:</w:t>
      </w:r>
      <w:r>
        <w:t xml:space="preserve"> </w:t>
      </w:r>
      <w:r>
        <w:t xml:space="preserve">$31,302.25</w:t>
      </w:r>
    </w:p>
    <w:bookmarkStart w:id="23" w:name="terms-and-conditions"/>
    <w:p>
      <w:pPr>
        <w:pStyle w:val="Heading4"/>
      </w:pPr>
      <w:r>
        <w:t xml:space="preserve">Terms and Conditions</w:t>
      </w:r>
    </w:p>
    <w:p>
      <w:pPr>
        <w:pStyle w:val="FirstParagraph"/>
      </w:pPr>
      <w:r>
        <w:rPr>
          <w:bCs/>
          <w:b/>
        </w:rPr>
        <w:t xml:space="preserve">Payment Terms:</w:t>
      </w:r>
      <w:r>
        <w:t xml:space="preserve"> </w:t>
      </w:r>
      <w:r>
        <w:t xml:space="preserve">Payment is due within 30 days of the invoice date. Late payments will incur a finance charge of 1.5% per month on the outstanding balance.</w:t>
      </w:r>
    </w:p>
    <w:p>
      <w:pPr>
        <w:pStyle w:val="BodyText"/>
      </w:pPr>
      <w:r>
        <w:rPr>
          <w:bCs/>
          <w:b/>
        </w:rPr>
        <w:t xml:space="preserve">Payment Methods:</w:t>
      </w:r>
      <w:r>
        <w:t xml:space="preserve"> </w:t>
      </w:r>
      <w:r>
        <w:t xml:space="preserve">Payments can be made via wire transfer, ACH, or check. Please include the Invoice Number (INV-2023-10-884) as the reference for all payments.</w:t>
      </w:r>
    </w:p>
    <w:p>
      <w:pPr>
        <w:pStyle w:val="BodyText"/>
      </w:pPr>
      <w:r>
        <w:rPr>
          <w:bCs/>
          <w:b/>
        </w:rPr>
        <w:t xml:space="preserve">Scope of Work:</w:t>
      </w:r>
      <w:r>
        <w:t xml:space="preserve"> </w:t>
      </w:r>
      <w:r>
        <w:t xml:space="preserve">This Invoice covers professional services rendered by a licensed Environmental Engineer in the state of California. All work was performed in strict adherence to the regulations set forth by the United States Environmental Protection Agency (EPA), the California Environmental Protection Agency (CalEPA), and local San Francisco ordinances.</w:t>
      </w:r>
    </w:p>
    <w:p>
      <w:pPr>
        <w:pStyle w:val="BodyText"/>
      </w:pPr>
      <w:r>
        <w:rPr>
          <w:bCs/>
          <w:b/>
        </w:rPr>
        <w:t xml:space="preserve">Site Specifics:</w:t>
      </w:r>
      <w:r>
        <w:t xml:space="preserve"> </w:t>
      </w:r>
      <w:r>
        <w:t xml:space="preserve">The services detailed herein are specific to the project site located in San Francisco, California. Any additional services required due to unforeseen site conditions or changes in regulatory requirements will be billed separately upon written authorization.</w:t>
      </w:r>
    </w:p>
    <w:p>
      <w:pPr>
        <w:pStyle w:val="BodyText"/>
      </w:pPr>
      <w:r>
        <w:rPr>
          <w:bCs/>
          <w:b/>
        </w:rPr>
        <w:t xml:space="preserve">Confidentiality:</w:t>
      </w:r>
      <w:r>
        <w:t xml:space="preserve"> </w:t>
      </w:r>
      <w:r>
        <w:t xml:space="preserve">All data, reports, and findings generated during this engagement are the property of the client and are subject to the confidentiality agreement signed on September 1, 2023.</w:t>
      </w:r>
    </w:p>
    <w:bookmarkEnd w:id="23"/>
    <w:p>
      <w:pPr>
        <w:pStyle w:val="BodyText"/>
      </w:pPr>
      <w:r>
        <w:t xml:space="preserve">Thank you for your business. We are committed to providing sustainable environmental solutions for the San Francisco Bay Area.</w:t>
      </w:r>
    </w:p>
    <w:p>
      <w:pPr>
        <w:pStyle w:val="BodyText"/>
      </w:pPr>
      <w:r>
        <w:t xml:space="preserve">Bay Area Environmental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Environmental Engineering</dc:title>
  <dc:creator/>
  <dc:language>en</dc:language>
  <cp:keywords/>
  <dcterms:created xsi:type="dcterms:W3CDTF">2026-10-10T04:11:32Z</dcterms:created>
  <dcterms:modified xsi:type="dcterms:W3CDTF">2026-10-10T04:11:32Z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