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meridian-analytics-group-pty-ltd"/>
    <w:p>
      <w:pPr>
        <w:pStyle w:val="Heading1"/>
      </w:pPr>
      <w:r>
        <w:t xml:space="preserve">Meridian Analytics Group Pty Ltd</w:t>
      </w:r>
    </w:p>
    <w:p>
      <w:pPr>
        <w:pStyle w:val="FirstParagraph"/>
      </w:pPr>
      <w:r>
        <w:t xml:space="preserve">ABN: 48 215 673 901</w:t>
      </w:r>
    </w:p>
    <w:p>
      <w:pPr>
        <w:pStyle w:val="BodyText"/>
      </w:pPr>
      <w:r>
        <w:t xml:space="preserve">Level 12, 400 George Street</w:t>
      </w:r>
    </w:p>
    <w:p>
      <w:pPr>
        <w:pStyle w:val="BodyText"/>
      </w:pPr>
      <w:r>
        <w:t xml:space="preserve">Brisbane, Queensland 4000</w:t>
      </w:r>
    </w:p>
    <w:p>
      <w:pPr>
        <w:pStyle w:val="BodyText"/>
      </w:pPr>
      <w:r>
        <w:t xml:space="preserve">Australia Brisbane</w:t>
      </w:r>
    </w:p>
    <w:p>
      <w:pPr>
        <w:pStyle w:val="BodyText"/>
      </w:pPr>
      <w:r>
        <w:t xml:space="preserve">Phone: +61 7 3100 4520</w:t>
      </w:r>
    </w:p>
    <w:p>
      <w:pPr>
        <w:pStyle w:val="BodyText"/>
      </w:pPr>
      <w:r>
        <w:t xml:space="preserve">Email: billing@meridiananalytics.com.au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ed-to"/>
    <w:p>
      <w:pPr>
        <w:pStyle w:val="Heading3"/>
      </w:pPr>
      <w:r>
        <w:t xml:space="preserve">Billed To</w:t>
      </w:r>
    </w:p>
    <w:p>
      <w:pPr>
        <w:pStyle w:val="FirstParagraph"/>
      </w:pPr>
      <w:r>
        <w:rPr>
          <w:bCs/>
          <w:b/>
        </w:rPr>
        <w:t xml:space="preserve">Suncoast Energy Holdings Ltd</w:t>
      </w:r>
    </w:p>
    <w:p>
      <w:pPr>
        <w:pStyle w:val="BodyText"/>
      </w:pPr>
      <w:r>
        <w:t xml:space="preserve">ABN: 12 847 290 335</w:t>
      </w:r>
    </w:p>
    <w:p>
      <w:pPr>
        <w:pStyle w:val="BodyText"/>
      </w:pPr>
      <w:r>
        <w:t xml:space="preserve">Unit 5, 88 Creek Street</w:t>
      </w:r>
    </w:p>
    <w:p>
      <w:pPr>
        <w:pStyle w:val="BodyText"/>
      </w:pPr>
      <w:r>
        <w:t xml:space="preserve">Brisbane, Queensland 4000</w:t>
      </w:r>
    </w:p>
    <w:p>
      <w:pPr>
        <w:pStyle w:val="BodyText"/>
      </w:pPr>
      <w:r>
        <w:t xml:space="preserve">Australia Brisbane</w:t>
      </w:r>
    </w:p>
    <w:p>
      <w:pPr>
        <w:pStyle w:val="BodyText"/>
      </w:pPr>
      <w:r>
        <w:t xml:space="preserve">Attn: Mr. David Chen, CFO</w:t>
      </w:r>
    </w:p>
    <w:p>
      <w:pPr>
        <w:pStyle w:val="BodyText"/>
      </w:pPr>
      <w:r>
        <w:t xml:space="preserve">Email: d.chen@suncoastenergy.com.au</w:t>
      </w:r>
    </w:p>
    <w:bookmarkEnd w:id="22"/>
    <w:bookmarkStart w:id="23" w:name="service-provider"/>
    <w:p>
      <w:pPr>
        <w:pStyle w:val="Heading3"/>
      </w:pPr>
      <w:r>
        <w:t xml:space="preserve">Service Provider</w:t>
      </w:r>
    </w:p>
    <w:p>
      <w:pPr>
        <w:pStyle w:val="FirstParagraph"/>
      </w:pPr>
      <w:r>
        <w:rPr>
          <w:bCs/>
          <w:b/>
        </w:rPr>
        <w:t xml:space="preserve">Meridian Analytics Group Pty Ltd</w:t>
      </w:r>
    </w:p>
    <w:p>
      <w:pPr>
        <w:pStyle w:val="BodyText"/>
      </w:pPr>
      <w:r>
        <w:t xml:space="preserve">Lead Financial Analyst: Sarah Whitfield, CPA</w:t>
      </w:r>
    </w:p>
    <w:p>
      <w:pPr>
        <w:pStyle w:val="BodyText"/>
      </w:pPr>
      <w:r>
        <w:t xml:space="preserve">Engagement Reference: FA-2025-Q2-BNE</w:t>
      </w:r>
    </w:p>
    <w:p>
      <w:pPr>
        <w:pStyle w:val="BodyText"/>
      </w:pPr>
      <w:r>
        <w:t xml:space="preserve">Service Location: Australia Brisbane</w:t>
      </w:r>
    </w:p>
    <w:p>
      <w:pPr>
        <w:pStyle w:val="BodyText"/>
      </w:pPr>
      <w:r>
        <w:t xml:space="preserve">Contract Period: 1 April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t xml:space="preserve">Quarterly Financial Performance Analysis – Comprehensive review of Q2 2025 financial statements, variance analysis, and key performance indicator reporting prepared by the assigned Financial Analyst for Suncoast Energy Holdings.</w:t>
            </w:r>
          </w:p>
        </w:tc>
        <w:tc>
          <w:tcPr/>
          <w:p>
            <w:pPr>
              <w:pStyle w:val="Compact"/>
              <w:jc w:val="left"/>
            </w:pPr>
            <w:r>
              <w:t xml:space="preserve">$185.00</w:t>
            </w:r>
          </w:p>
        </w:tc>
        <w:tc>
          <w:tcPr/>
          <w:p>
            <w:pPr>
              <w:pStyle w:val="Compact"/>
              <w:jc w:val="left"/>
            </w:pPr>
            <w:r>
              <w:t xml:space="preserve">32</w:t>
            </w:r>
          </w:p>
        </w:tc>
        <w:tc>
          <w:tcPr/>
          <w:p>
            <w:pPr>
              <w:pStyle w:val="Compact"/>
              <w:jc w:val="left"/>
            </w:pPr>
            <w:r>
              <w:t xml:space="preserve">$5,920.00</w:t>
            </w:r>
          </w:p>
        </w:tc>
        <w:tc>
          <w:tcPr/>
          <w:p>
            <w:pPr>
              <w:pStyle w:val="Compact"/>
              <w:jc w:val="left"/>
            </w:pPr>
            <w:r>
              <w:t xml:space="preserve">$592.00</w:t>
            </w:r>
          </w:p>
        </w:tc>
      </w:tr>
      <w:tr>
        <w:tc>
          <w:tcPr/>
          <w:p>
            <w:pPr>
              <w:pStyle w:val="Compact"/>
              <w:jc w:val="left"/>
            </w:pPr>
            <w:r>
              <w:t xml:space="preserve">2</w:t>
            </w:r>
          </w:p>
        </w:tc>
        <w:tc>
          <w:tcPr/>
          <w:p>
            <w:pPr>
              <w:pStyle w:val="Compact"/>
              <w:jc w:val="left"/>
            </w:pPr>
            <w:r>
              <w:t xml:space="preserve">Capital Expenditure Modelling and Forecasting – Development of multi-year capital expenditure projections, discounted cash flow analysis, and investment appraisal reports as part of the Financial Analyst engagement in Australia Brisbane.</w:t>
            </w:r>
          </w:p>
        </w:tc>
        <w:tc>
          <w:tcPr/>
          <w:p>
            <w:pPr>
              <w:pStyle w:val="Compact"/>
              <w:jc w:val="left"/>
            </w:pPr>
            <w:r>
              <w:t xml:space="preserve">$185.00</w:t>
            </w:r>
          </w:p>
        </w:tc>
        <w:tc>
          <w:tcPr/>
          <w:p>
            <w:pPr>
              <w:pStyle w:val="Compact"/>
              <w:jc w:val="left"/>
            </w:pPr>
            <w:r>
              <w:t xml:space="preserve">28</w:t>
            </w:r>
          </w:p>
        </w:tc>
        <w:tc>
          <w:tcPr/>
          <w:p>
            <w:pPr>
              <w:pStyle w:val="Compact"/>
              <w:jc w:val="left"/>
            </w:pPr>
            <w:r>
              <w:t xml:space="preserve">$5,180.00</w:t>
            </w:r>
          </w:p>
        </w:tc>
        <w:tc>
          <w:tcPr/>
          <w:p>
            <w:pPr>
              <w:pStyle w:val="Compact"/>
              <w:jc w:val="left"/>
            </w:pPr>
            <w:r>
              <w:t xml:space="preserve">$518.00</w:t>
            </w:r>
          </w:p>
        </w:tc>
      </w:tr>
      <w:tr>
        <w:tc>
          <w:tcPr/>
          <w:p>
            <w:pPr>
              <w:pStyle w:val="Compact"/>
              <w:jc w:val="left"/>
            </w:pPr>
            <w:r>
              <w:t xml:space="preserve">3</w:t>
            </w:r>
          </w:p>
        </w:tc>
        <w:tc>
          <w:tcPr/>
          <w:p>
            <w:pPr>
              <w:pStyle w:val="Compact"/>
              <w:jc w:val="left"/>
            </w:pPr>
            <w:r>
              <w:t xml:space="preserve">Regulatory Compliance and Tax Advisory – Review of Australian Taxation Office compliance obligations, GST reconciliation, and preparation of supporting documentation for the Financial Analyst's quarterly reporting cycle.</w:t>
            </w:r>
          </w:p>
        </w:tc>
        <w:tc>
          <w:tcPr/>
          <w:p>
            <w:pPr>
              <w:pStyle w:val="Compact"/>
              <w:jc w:val="left"/>
            </w:pPr>
            <w:r>
              <w:t xml:space="preserve">$165.00</w:t>
            </w:r>
          </w:p>
        </w:tc>
        <w:tc>
          <w:tcPr/>
          <w:p>
            <w:pPr>
              <w:pStyle w:val="Compact"/>
              <w:jc w:val="left"/>
            </w:pPr>
            <w:r>
              <w:t xml:space="preserve">20</w:t>
            </w:r>
          </w:p>
        </w:tc>
        <w:tc>
          <w:tcPr/>
          <w:p>
            <w:pPr>
              <w:pStyle w:val="Compact"/>
              <w:jc w:val="left"/>
            </w:pPr>
            <w:r>
              <w:t xml:space="preserve">$3,300.00</w:t>
            </w:r>
          </w:p>
        </w:tc>
        <w:tc>
          <w:tcPr/>
          <w:p>
            <w:pPr>
              <w:pStyle w:val="Compact"/>
              <w:jc w:val="left"/>
            </w:pPr>
            <w:r>
              <w:t xml:space="preserve">$330.00</w:t>
            </w:r>
          </w:p>
        </w:tc>
      </w:tr>
      <w:tr>
        <w:tc>
          <w:tcPr/>
          <w:p>
            <w:pPr>
              <w:pStyle w:val="Compact"/>
              <w:jc w:val="left"/>
            </w:pPr>
            <w:r>
              <w:t xml:space="preserve">4</w:t>
            </w:r>
          </w:p>
        </w:tc>
        <w:tc>
          <w:tcPr/>
          <w:p>
            <w:pPr>
              <w:pStyle w:val="Compact"/>
              <w:jc w:val="left"/>
            </w:pPr>
            <w:r>
              <w:t xml:space="preserve">Stakeholder Presentation and Board Reporting – Preparation of executive-level financial dashboards, board presentation materials, and narrative commentary delivered by the Financial Analyst team based in Australia Brisbane.</w:t>
            </w:r>
          </w:p>
        </w:tc>
        <w:tc>
          <w:tcPr/>
          <w:p>
            <w:pPr>
              <w:pStyle w:val="Compact"/>
              <w:jc w:val="left"/>
            </w:pPr>
            <w:r>
              <w:t xml:space="preserve">$195.00</w:t>
            </w:r>
          </w:p>
        </w:tc>
        <w:tc>
          <w:tcPr/>
          <w:p>
            <w:pPr>
              <w:pStyle w:val="Compact"/>
              <w:jc w:val="left"/>
            </w:pPr>
            <w:r>
              <w:t xml:space="preserve">16</w:t>
            </w:r>
          </w:p>
        </w:tc>
        <w:tc>
          <w:tcPr/>
          <w:p>
            <w:pPr>
              <w:pStyle w:val="Compact"/>
              <w:jc w:val="left"/>
            </w:pPr>
            <w:r>
              <w:t xml:space="preserve">$3,120.00</w:t>
            </w:r>
          </w:p>
        </w:tc>
        <w:tc>
          <w:tcPr/>
          <w:p>
            <w:pPr>
              <w:pStyle w:val="Compact"/>
              <w:jc w:val="left"/>
            </w:pPr>
            <w:r>
              <w:t xml:space="preserve">$312.00</w:t>
            </w:r>
          </w:p>
        </w:tc>
      </w:tr>
      <w:tr>
        <w:tc>
          <w:tcPr/>
          <w:p>
            <w:pPr>
              <w:pStyle w:val="Compact"/>
              <w:jc w:val="left"/>
            </w:pPr>
            <w:r>
              <w:t xml:space="preserve">5</w:t>
            </w:r>
          </w:p>
        </w:tc>
        <w:tc>
          <w:tcPr/>
          <w:p>
            <w:pPr>
              <w:pStyle w:val="Compact"/>
              <w:jc w:val="left"/>
            </w:pPr>
            <w:r>
              <w:t xml:space="preserve">Market Research and Competitive Benchmarking – Analysis of sector-specific financial benchmarks, peer group comparison, and strategic positioning assessment conducted by the Financial Analyst as part of the ongoing advisory contract.</w:t>
            </w:r>
          </w:p>
        </w:tc>
        <w:tc>
          <w:tcPr/>
          <w:p>
            <w:pPr>
              <w:pStyle w:val="Compact"/>
              <w:jc w:val="left"/>
            </w:pPr>
            <w:r>
              <w:t xml:space="preserve">$175.00</w:t>
            </w:r>
          </w:p>
        </w:tc>
        <w:tc>
          <w:tcPr/>
          <w:p>
            <w:pPr>
              <w:pStyle w:val="Compact"/>
              <w:jc w:val="left"/>
            </w:pPr>
            <w:r>
              <w:t xml:space="preserve">24</w:t>
            </w:r>
          </w:p>
        </w:tc>
        <w:tc>
          <w:tcPr/>
          <w:p>
            <w:pPr>
              <w:pStyle w:val="Compact"/>
              <w:jc w:val="left"/>
            </w:pPr>
            <w:r>
              <w:t xml:space="preserve">$4,200.00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$21,720.00</w:t>
            </w:r>
          </w:p>
        </w:tc>
      </w:tr>
      <w:tr>
        <w:tc>
          <w:tcPr/>
          <w:p>
            <w:pPr>
              <w:pStyle w:val="Compact"/>
              <w:jc w:val="left"/>
            </w:pPr>
            <w:r>
              <w:t xml:space="preserve">GST (10%)</w:t>
            </w:r>
          </w:p>
        </w:tc>
        <w:tc>
          <w:tcPr/>
          <w:p>
            <w:pPr>
              <w:pStyle w:val="Compact"/>
              <w:jc w:val="left"/>
            </w:pPr>
            <w:r>
              <w:t xml:space="preserve">$2,172.00</w:t>
            </w:r>
          </w:p>
        </w:tc>
      </w:tr>
      <w:tr>
        <w:tc>
          <w:tcPr/>
          <w:p>
            <w:pPr>
              <w:pStyle w:val="Compact"/>
              <w:jc w:val="left"/>
            </w:pPr>
            <w:r>
              <w:t xml:space="preserve">Discount – Loyal Client (5%)</w:t>
            </w:r>
          </w:p>
        </w:tc>
        <w:tc>
          <w:tcPr/>
          <w:p>
            <w:pPr>
              <w:pStyle w:val="Compact"/>
              <w:jc w:val="left"/>
            </w:pPr>
            <w:r>
              <w:t xml:space="preserve">-$1,086.00</w:t>
            </w:r>
          </w:p>
        </w:tc>
      </w:tr>
      <w:tr>
        <w:tc>
          <w:tcPr/>
          <w:p>
            <w:pPr>
              <w:pStyle w:val="Compact"/>
              <w:jc w:val="left"/>
            </w:pPr>
            <w:r>
              <w:t xml:space="preserve">Total Amount Due (Incl. GST)</w:t>
            </w:r>
          </w:p>
        </w:tc>
        <w:tc>
          <w:tcPr/>
          <w:p>
            <w:pPr>
              <w:pStyle w:val="Compact"/>
              <w:jc w:val="left"/>
            </w:pPr>
            <w:r>
              <w:t xml:space="preserve">$22,806.00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Meridian Analytics Group Pty Ltd</w:t>
      </w:r>
    </w:p>
    <w:p>
      <w:pPr>
        <w:pStyle w:val="BodyText"/>
      </w:pPr>
      <w:r>
        <w:rPr>
          <w:bCs/>
          <w:b/>
        </w:rPr>
        <w:t xml:space="preserve">BSB:</w:t>
      </w:r>
      <w:r>
        <w:t xml:space="preserve"> </w:t>
      </w:r>
      <w:r>
        <w:t xml:space="preserve">063-124</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INV-2025-0487</w:t>
      </w:r>
    </w:p>
    <w:p>
      <w:pPr>
        <w:pStyle w:val="BodyText"/>
      </w:pPr>
      <w:r>
        <w:rPr>
          <w:bCs/>
          <w:b/>
        </w:rPr>
        <w:t xml:space="preserve">Payment Method:</w:t>
      </w:r>
      <w:r>
        <w:t xml:space="preserve"> </w:t>
      </w:r>
      <w:r>
        <w:t xml:space="preserve">EFT / BPAY / Credit Card (Visa, Mastercard, Amex)</w:t>
      </w:r>
    </w:p>
    <w:p>
      <w:pPr>
        <w:pStyle w:val="BodyText"/>
      </w:pPr>
      <w:r>
        <w:t xml:space="preserve">Please ensure the Invoice reference number is included with all payments to facilitate accurate reconciliation by our accounts team in Australia Brisbane.</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professional services agreement dated 1 March 2025 between Meridian Analytics Group Pty Ltd and Suncoast Energy Holdings Ltd, governing the provision of Financial Analyst services in Australia Brisbane.</w:t>
      </w:r>
    </w:p>
    <w:p>
      <w:pPr>
        <w:numPr>
          <w:ilvl w:val="0"/>
          <w:numId w:val="1001"/>
        </w:numPr>
        <w:pStyle w:val="Compact"/>
      </w:pPr>
      <w:r>
        <w:t xml:space="preserve">Payment is due within fourteen (14) calendar days from the Invoice date. Late payments will attract interest at the rate of 1.5% per month in accordance with the Australian Consumer Law and applicable Queensland state regulations.</w:t>
      </w:r>
    </w:p>
    <w:p>
      <w:pPr>
        <w:numPr>
          <w:ilvl w:val="0"/>
          <w:numId w:val="1001"/>
        </w:numPr>
        <w:pStyle w:val="Compact"/>
      </w:pPr>
      <w:r>
        <w:t xml:space="preserve">All Financial Analyst deliverables, including but not limited to financial models, analytical reports, and strategic recommendations, remain the intellectual property of Meridian Analytics Group Pty Ltd until full payment of this Invoice has been received.</w:t>
      </w:r>
    </w:p>
    <w:p>
      <w:pPr>
        <w:numPr>
          <w:ilvl w:val="0"/>
          <w:numId w:val="1001"/>
        </w:numPr>
        <w:pStyle w:val="Compact"/>
      </w:pPr>
      <w:r>
        <w:t xml:space="preserve">The Financial Analyst services described in this Invoice were performed in compliance with the Australian Chartered Accountants (CA ANZ) professional standards and the Australian Securities and Investments Commission (ASIC) regulatory framework.</w:t>
      </w:r>
    </w:p>
    <w:p>
      <w:pPr>
        <w:numPr>
          <w:ilvl w:val="0"/>
          <w:numId w:val="1001"/>
        </w:numPr>
        <w:pStyle w:val="Compact"/>
      </w:pPr>
      <w:r>
        <w:t xml:space="preserve">Any disputes arising from this Invoice shall be resolved in accordance with the dispute resolution clause of the master services agreement, with jurisdiction in the courts of Queensland, Australia Brisbane.</w:t>
      </w:r>
    </w:p>
    <w:p>
      <w:pPr>
        <w:numPr>
          <w:ilvl w:val="0"/>
          <w:numId w:val="1001"/>
        </w:numPr>
        <w:pStyle w:val="Compact"/>
      </w:pPr>
      <w:r>
        <w:t xml:space="preserve">This Invoice is subject to a 10% Goods and Services Tax (GST) as mandated by the Australian Taxation Office. A Tax Invoice is provided for the purpose of claiming GST input tax credits where applicable under Australian tax law.</w:t>
      </w:r>
    </w:p>
    <w:p>
      <w:pPr>
        <w:numPr>
          <w:ilvl w:val="0"/>
          <w:numId w:val="1001"/>
        </w:numPr>
        <w:pStyle w:val="Compact"/>
      </w:pPr>
      <w:r>
        <w:t xml:space="preserve">Meridian Analytics Group Pty Ltd reserves the right to suspend ongoing Financial Analyst services if payment of this Invoice is not received by the stated due date. All work in progress will be paused until settlement is confirmed.</w:t>
      </w:r>
    </w:p>
    <w:p>
      <w:pPr>
        <w:numPr>
          <w:ilvl w:val="0"/>
          <w:numId w:val="1001"/>
        </w:numPr>
        <w:pStyle w:val="Compact"/>
      </w:pPr>
      <w:r>
        <w:t xml:space="preserve">Confidentiality obligations as outlined in the Non-Disclosure Agreement (NDA-2025-012) remain in full force and effect. All financial data, proprietary models, and strategic insights handled by the Financial Analyst team are protected under Australian Privacy Act 1988.</w:t>
      </w:r>
    </w:p>
    <w:bookmarkEnd w:id="25"/>
    <w:p>
      <w:pPr>
        <w:pStyle w:val="FirstParagraph"/>
      </w:pPr>
      <w:r>
        <w:t xml:space="preserve">Thank you for engaging Meridian Analytics Group Pty Ltd for your Financial Analyst requirements in Australia Brisbane.</w:t>
      </w:r>
    </w:p>
    <w:p>
      <w:pPr>
        <w:pStyle w:val="BodyText"/>
      </w:pPr>
      <w:r>
        <w:t xml:space="preserve">This Invoice was generated electronically and is valid without a physical signature. For queries regarding this Invoice, please contact our billing department at billing@meridiananalytics.com.au or +61 7 3100 4520.</w:t>
      </w:r>
    </w:p>
    <w:p>
      <w:pPr>
        <w:pStyle w:val="BodyText"/>
      </w:pPr>
      <w:r>
        <w:t xml:space="preserve">Meridian Analytics Group Pty Ltd | ABN 48 215 673 901 | Brisbane, Queensland, Australia Brisbane</w:t>
      </w:r>
    </w:p>
    <w:p>
      <w:pPr>
        <w:pStyle w:val="BodyText"/>
      </w:pPr>
      <w:r>
        <w:t xml:space="preserve">© 2025 Meridian Analytics Group Pty Ltd. All rights reserved.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Australia Brisbane</dc:title>
  <dc:creator/>
  <dc:language>en</dc:language>
  <cp:keywords/>
  <dcterms:created xsi:type="dcterms:W3CDTF">2026-10-10T07:24:33Z</dcterms:created>
  <dcterms:modified xsi:type="dcterms:W3CDTF">2026-10-10T07:24:33Z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